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20E42068" w14:textId="12523BB7" w:rsidR="00657410"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w:t>
      </w:r>
      <w:r w:rsidR="006A4567">
        <w:rPr>
          <w:rFonts w:ascii="Times New Roman" w:hAnsi="Times New Roman"/>
          <w:sz w:val="22"/>
          <w:szCs w:val="22"/>
        </w:rPr>
        <w:t>9</w:t>
      </w:r>
      <w:r w:rsidRPr="00AB3EB9">
        <w:rPr>
          <w:rFonts w:ascii="Times New Roman" w:hAnsi="Times New Roman"/>
          <w:sz w:val="22"/>
          <w:szCs w:val="22"/>
        </w:rPr>
        <w:t xml:space="preserve"> y</w:t>
      </w:r>
      <w:r w:rsidRPr="0018003D">
        <w:rPr>
          <w:rFonts w:ascii="Times New Roman" w:hAnsi="Times New Roman"/>
          <w:sz w:val="22"/>
          <w:szCs w:val="22"/>
        </w:rPr>
        <w:t xml:space="preserve"> fecha</w:t>
      </w:r>
      <w:r w:rsidR="00657410">
        <w:rPr>
          <w:rFonts w:ascii="Times New Roman" w:hAnsi="Times New Roman"/>
          <w:sz w:val="22"/>
          <w:szCs w:val="22"/>
        </w:rPr>
        <w:t xml:space="preserve">: </w:t>
      </w:r>
      <w:r w:rsidR="001E228C">
        <w:rPr>
          <w:rFonts w:ascii="Times New Roman" w:hAnsi="Times New Roman"/>
          <w:sz w:val="22"/>
          <w:szCs w:val="22"/>
        </w:rPr>
        <w:t>3</w:t>
      </w:r>
      <w:r w:rsidR="00B77C6C">
        <w:rPr>
          <w:rFonts w:ascii="Times New Roman" w:hAnsi="Times New Roman"/>
          <w:sz w:val="22"/>
          <w:szCs w:val="22"/>
        </w:rPr>
        <w:t>1</w:t>
      </w:r>
      <w:r w:rsidRPr="0018003D">
        <w:rPr>
          <w:rFonts w:ascii="Times New Roman" w:hAnsi="Times New Roman"/>
          <w:sz w:val="22"/>
          <w:szCs w:val="22"/>
        </w:rPr>
        <w:t>/</w:t>
      </w:r>
      <w:r w:rsidR="004E3C28">
        <w:rPr>
          <w:rFonts w:ascii="Times New Roman" w:hAnsi="Times New Roman"/>
          <w:sz w:val="22"/>
          <w:szCs w:val="22"/>
        </w:rPr>
        <w:t>0</w:t>
      </w:r>
      <w:r w:rsidR="00B77C6C">
        <w:rPr>
          <w:rFonts w:ascii="Times New Roman" w:hAnsi="Times New Roman"/>
          <w:sz w:val="22"/>
          <w:szCs w:val="22"/>
        </w:rPr>
        <w:t>3</w:t>
      </w:r>
      <w:r w:rsidRPr="0018003D">
        <w:rPr>
          <w:rFonts w:ascii="Times New Roman" w:hAnsi="Times New Roman"/>
          <w:sz w:val="22"/>
          <w:szCs w:val="22"/>
        </w:rPr>
        <w:t>/</w:t>
      </w:r>
      <w:r w:rsidR="00E15CAD">
        <w:rPr>
          <w:rFonts w:ascii="Times New Roman" w:hAnsi="Times New Roman"/>
          <w:sz w:val="22"/>
          <w:szCs w:val="22"/>
        </w:rPr>
        <w:t>202</w:t>
      </w:r>
      <w:r w:rsidR="004E3C28">
        <w:rPr>
          <w:rFonts w:ascii="Times New Roman" w:hAnsi="Times New Roman"/>
          <w:sz w:val="22"/>
          <w:szCs w:val="22"/>
        </w:rPr>
        <w:t>3</w:t>
      </w:r>
    </w:p>
    <w:p w14:paraId="044E0DD4" w14:textId="4664B798" w:rsidR="00F550E3" w:rsidRPr="0018003D" w:rsidRDefault="00F2124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 xml:space="preserve">Mejorar la eficiencia y productividad en la gestión y las </w:t>
            </w:r>
            <w:r w:rsidRPr="008B7AB7">
              <w:rPr>
                <w:rFonts w:ascii="Times New Roman" w:hAnsi="Times New Roman"/>
                <w:color w:val="000000"/>
                <w:szCs w:val="24"/>
                <w:lang w:eastAsia="es-CO"/>
              </w:rPr>
              <w:lastRenderedPageBreak/>
              <w:t>capacidades de las 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w:t>
      </w:r>
      <w:r w:rsidRPr="008B7AB7">
        <w:rPr>
          <w:rFonts w:ascii="Times New Roman" w:hAnsi="Times New Roman"/>
          <w:szCs w:val="24"/>
          <w:lang w:eastAsia="es-CO"/>
        </w:rPr>
        <w:lastRenderedPageBreak/>
        <w:t>otras. Plantea la necesidad de continuar trabajando en el mejoramiento de todas las  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w:t>
      </w:r>
      <w:r w:rsidRPr="008B7AB7">
        <w:rPr>
          <w:rFonts w:ascii="Times New Roman" w:hAnsi="Times New Roman"/>
          <w:szCs w:val="24"/>
          <w:lang w:eastAsia="es-CO"/>
        </w:rPr>
        <w:lastRenderedPageBreak/>
        <w:t xml:space="preserve">contó para la vigencia 2018, con un Índice de Desempeño Institucional de 71.3, año en el 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Así mismo, se establecie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1F856092" w:rsidR="00772F96" w:rsidRPr="006F5879" w:rsidRDefault="00916161" w:rsidP="00772F96">
            <w:pPr>
              <w:jc w:val="center"/>
              <w:rPr>
                <w:rFonts w:ascii="Times New Roman" w:hAnsi="Times New Roman"/>
                <w:sz w:val="22"/>
                <w:szCs w:val="22"/>
              </w:rPr>
            </w:pPr>
            <w:r>
              <w:rPr>
                <w:rFonts w:cs="Arial"/>
                <w:sz w:val="18"/>
                <w:szCs w:val="18"/>
              </w:rPr>
              <w:t>2,00</w:t>
            </w:r>
          </w:p>
        </w:tc>
        <w:tc>
          <w:tcPr>
            <w:tcW w:w="585" w:type="dxa"/>
            <w:tcBorders>
              <w:left w:val="single" w:sz="4" w:space="0" w:color="000000"/>
              <w:right w:val="single" w:sz="4" w:space="0" w:color="000000"/>
            </w:tcBorders>
            <w:vAlign w:val="center"/>
          </w:tcPr>
          <w:p w14:paraId="69830F3E" w14:textId="6A5F5971" w:rsidR="00772F96" w:rsidRPr="002501F2" w:rsidRDefault="00916161" w:rsidP="00772F96">
            <w:pPr>
              <w:jc w:val="center"/>
              <w:rPr>
                <w:rFonts w:ascii="Times New Roman" w:hAnsi="Times New Roman"/>
                <w:sz w:val="22"/>
                <w:szCs w:val="22"/>
              </w:rPr>
            </w:pPr>
            <w:r w:rsidRPr="002501F2">
              <w:rPr>
                <w:rFonts w:cs="Arial"/>
                <w:sz w:val="18"/>
                <w:szCs w:val="18"/>
              </w:rPr>
              <w:t>1</w:t>
            </w:r>
            <w:r w:rsidR="00772F96" w:rsidRPr="002501F2">
              <w:rPr>
                <w:rFonts w:cs="Arial"/>
                <w:sz w:val="18"/>
                <w:szCs w:val="18"/>
              </w:rPr>
              <w:t>,</w:t>
            </w:r>
            <w:r w:rsidRPr="002501F2">
              <w:rPr>
                <w:rFonts w:cs="Arial"/>
                <w:sz w:val="18"/>
                <w:szCs w:val="18"/>
              </w:rPr>
              <w:t>2</w:t>
            </w:r>
            <w:r w:rsidR="0062153B" w:rsidRPr="002501F2">
              <w:rPr>
                <w:rFonts w:cs="Arial"/>
                <w:sz w:val="18"/>
                <w:szCs w:val="18"/>
              </w:rPr>
              <w:t>0</w:t>
            </w:r>
          </w:p>
        </w:tc>
        <w:tc>
          <w:tcPr>
            <w:tcW w:w="675" w:type="dxa"/>
            <w:tcBorders>
              <w:left w:val="single" w:sz="4" w:space="0" w:color="000000"/>
              <w:right w:val="single" w:sz="4" w:space="0" w:color="000000"/>
            </w:tcBorders>
            <w:vAlign w:val="center"/>
          </w:tcPr>
          <w:p w14:paraId="63ECACA4" w14:textId="7C71C489" w:rsidR="00772F96" w:rsidRPr="002501F2" w:rsidRDefault="00916161" w:rsidP="00772F96">
            <w:pPr>
              <w:jc w:val="center"/>
              <w:rPr>
                <w:rFonts w:ascii="Times New Roman" w:hAnsi="Times New Roman"/>
                <w:sz w:val="22"/>
                <w:szCs w:val="22"/>
              </w:rPr>
            </w:pPr>
            <w:r w:rsidRPr="002501F2">
              <w:rPr>
                <w:rFonts w:cs="Arial"/>
                <w:sz w:val="18"/>
                <w:szCs w:val="18"/>
              </w:rPr>
              <w:t>1</w:t>
            </w:r>
            <w:r w:rsidR="00043CC4" w:rsidRPr="002501F2">
              <w:rPr>
                <w:rFonts w:cs="Arial"/>
                <w:sz w:val="18"/>
                <w:szCs w:val="18"/>
              </w:rPr>
              <w:t>,</w:t>
            </w:r>
            <w:r w:rsidRPr="002501F2">
              <w:rPr>
                <w:rFonts w:cs="Arial"/>
                <w:sz w:val="18"/>
                <w:szCs w:val="18"/>
              </w:rPr>
              <w:t>0</w:t>
            </w:r>
            <w:r w:rsidR="0062153B" w:rsidRPr="002501F2">
              <w:rPr>
                <w:rFonts w:cs="Arial"/>
                <w:sz w:val="18"/>
                <w:szCs w:val="18"/>
              </w:rPr>
              <w:t>0</w:t>
            </w:r>
          </w:p>
        </w:tc>
        <w:tc>
          <w:tcPr>
            <w:tcW w:w="825" w:type="dxa"/>
            <w:tcBorders>
              <w:left w:val="single" w:sz="4" w:space="0" w:color="000000"/>
              <w:right w:val="single" w:sz="4" w:space="0" w:color="000000"/>
            </w:tcBorders>
            <w:vAlign w:val="center"/>
          </w:tcPr>
          <w:p w14:paraId="09A7F7BB" w14:textId="3B5B1F84" w:rsidR="00772F96" w:rsidRPr="002501F2" w:rsidRDefault="0061250D" w:rsidP="00772F96">
            <w:pPr>
              <w:jc w:val="center"/>
              <w:rPr>
                <w:rFonts w:ascii="Times New Roman" w:hAnsi="Times New Roman"/>
                <w:sz w:val="22"/>
                <w:szCs w:val="22"/>
              </w:rPr>
            </w:pPr>
            <w:r w:rsidRPr="002501F2">
              <w:rPr>
                <w:rFonts w:cs="Arial"/>
                <w:sz w:val="18"/>
                <w:szCs w:val="18"/>
              </w:rPr>
              <w:t>12</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7D857DA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50C27606"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5376F1">
              <w:rPr>
                <w:rFonts w:cs="Arial"/>
                <w:sz w:val="18"/>
                <w:szCs w:val="18"/>
              </w:rPr>
              <w:t>,</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2501F2" w:rsidRDefault="0062153B" w:rsidP="0062153B">
            <w:pPr>
              <w:jc w:val="center"/>
              <w:rPr>
                <w:rFonts w:ascii="Times New Roman" w:hAnsi="Times New Roman"/>
                <w:sz w:val="22"/>
                <w:szCs w:val="22"/>
              </w:rPr>
            </w:pPr>
            <w:r w:rsidRPr="002501F2">
              <w:rPr>
                <w:rFonts w:cs="Arial"/>
                <w:sz w:val="18"/>
                <w:szCs w:val="18"/>
              </w:rPr>
              <w:t>2</w:t>
            </w:r>
            <w:r w:rsidR="009423FB" w:rsidRPr="002501F2">
              <w:rPr>
                <w:rFonts w:cs="Arial"/>
                <w:sz w:val="18"/>
                <w:szCs w:val="18"/>
              </w:rPr>
              <w:t>6.0</w:t>
            </w:r>
            <w:r w:rsidR="00DD7AA3" w:rsidRPr="002501F2">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2501F2" w:rsidRDefault="0062153B" w:rsidP="0062153B">
            <w:pPr>
              <w:jc w:val="center"/>
              <w:rPr>
                <w:rFonts w:ascii="Times New Roman" w:hAnsi="Times New Roman"/>
                <w:sz w:val="22"/>
                <w:szCs w:val="22"/>
              </w:rPr>
            </w:pPr>
            <w:r w:rsidRPr="002501F2">
              <w:rPr>
                <w:rFonts w:cs="Arial"/>
                <w:sz w:val="18"/>
                <w:szCs w:val="18"/>
              </w:rPr>
              <w:t>1</w:t>
            </w:r>
            <w:r w:rsidR="009423FB" w:rsidRPr="002501F2">
              <w:rPr>
                <w:rFonts w:cs="Arial"/>
                <w:sz w:val="18"/>
                <w:szCs w:val="18"/>
              </w:rPr>
              <w:t>3</w:t>
            </w:r>
            <w:r w:rsidRPr="002501F2">
              <w:rPr>
                <w:rFonts w:cs="Arial"/>
                <w:sz w:val="18"/>
                <w:szCs w:val="18"/>
              </w:rPr>
              <w:t>.5</w:t>
            </w:r>
            <w:r w:rsidR="00DD7AA3" w:rsidRPr="002501F2">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2501F2" w:rsidRDefault="0062153B" w:rsidP="0062153B">
            <w:pPr>
              <w:jc w:val="center"/>
              <w:rPr>
                <w:rFonts w:ascii="Times New Roman" w:hAnsi="Times New Roman"/>
                <w:sz w:val="22"/>
                <w:szCs w:val="22"/>
              </w:rPr>
            </w:pPr>
            <w:r w:rsidRPr="002501F2">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Cll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Aprobar la actualización de la documentación de los procesos en el aplicativo Isolución</w:t>
      </w:r>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usuarios, roles y responsabilidades en el aplicativo Isolución</w:t>
      </w:r>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el soporte para el adecuado funcionamiento del aplicativo Isolución</w:t>
      </w:r>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7D2964">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7D2964">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7D2964">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7D2964">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(flash, capacitaciones)</w:t>
            </w:r>
          </w:p>
        </w:tc>
      </w:tr>
      <w:tr w:rsidR="00EE5216" w:rsidRPr="005B1982" w14:paraId="6F4FA59F" w14:textId="77777777" w:rsidTr="007D2964">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Secretaria General, Procuraduría)</w:t>
            </w:r>
          </w:p>
        </w:tc>
      </w:tr>
      <w:tr w:rsidR="005C170C" w:rsidRPr="005B1982" w14:paraId="200978D7" w14:textId="77777777" w:rsidTr="007D2964">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7D296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81630B" w:rsidRDefault="0062153B" w:rsidP="0062153B">
            <w:pPr>
              <w:jc w:val="center"/>
              <w:rPr>
                <w:rFonts w:cs="Arial"/>
                <w:sz w:val="18"/>
                <w:szCs w:val="18"/>
              </w:rPr>
            </w:pPr>
            <w:r w:rsidRPr="0081630B">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81630B" w:rsidRDefault="0062153B" w:rsidP="0062153B">
            <w:pPr>
              <w:jc w:val="center"/>
              <w:rPr>
                <w:rFonts w:cs="Arial"/>
                <w:sz w:val="18"/>
                <w:szCs w:val="18"/>
              </w:rPr>
            </w:pPr>
            <w:r w:rsidRPr="006F5879">
              <w:rPr>
                <w:rFonts w:cs="Arial"/>
                <w:sz w:val="18"/>
                <w:szCs w:val="18"/>
              </w:rPr>
              <w:t>2</w:t>
            </w:r>
            <w:r w:rsidR="001D51B8">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2501F2" w:rsidRDefault="0062153B" w:rsidP="0062153B">
            <w:pPr>
              <w:jc w:val="center"/>
              <w:rPr>
                <w:rFonts w:cs="Arial"/>
                <w:sz w:val="18"/>
                <w:szCs w:val="18"/>
              </w:rPr>
            </w:pPr>
            <w:r w:rsidRPr="002501F2">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2501F2" w:rsidRDefault="0062153B" w:rsidP="0062153B">
            <w:pPr>
              <w:jc w:val="center"/>
              <w:rPr>
                <w:rFonts w:cs="Arial"/>
                <w:sz w:val="18"/>
                <w:szCs w:val="18"/>
              </w:rPr>
            </w:pPr>
            <w:r w:rsidRPr="002501F2">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2501F2" w:rsidRDefault="0062153B" w:rsidP="0062153B">
            <w:pPr>
              <w:jc w:val="center"/>
              <w:rPr>
                <w:rFonts w:cs="Arial"/>
                <w:sz w:val="18"/>
                <w:szCs w:val="18"/>
              </w:rPr>
            </w:pPr>
            <w:r w:rsidRPr="002501F2">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2501F2" w:rsidRDefault="0062153B" w:rsidP="0062153B">
            <w:pPr>
              <w:jc w:val="center"/>
              <w:rPr>
                <w:rFonts w:ascii="Times New Roman" w:hAnsi="Times New Roman"/>
                <w:sz w:val="18"/>
                <w:szCs w:val="18"/>
              </w:rPr>
            </w:pPr>
            <w:r w:rsidRPr="002501F2">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2501F2" w:rsidRDefault="001D51B8" w:rsidP="0062153B">
            <w:pPr>
              <w:jc w:val="center"/>
              <w:rPr>
                <w:rFonts w:ascii="Times New Roman" w:hAnsi="Times New Roman"/>
                <w:sz w:val="18"/>
                <w:szCs w:val="18"/>
              </w:rPr>
            </w:pPr>
            <w:r w:rsidRPr="002501F2">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79929C43" w:rsidR="0062153B" w:rsidRPr="002501F2" w:rsidRDefault="0062153B" w:rsidP="0062153B">
            <w:pPr>
              <w:jc w:val="center"/>
              <w:rPr>
                <w:rFonts w:ascii="Times New Roman" w:hAnsi="Times New Roman"/>
                <w:sz w:val="18"/>
                <w:szCs w:val="18"/>
              </w:rPr>
            </w:pPr>
            <w:r w:rsidRPr="002501F2">
              <w:rPr>
                <w:rFonts w:cs="Arial"/>
                <w:sz w:val="18"/>
                <w:szCs w:val="18"/>
              </w:rPr>
              <w:t>1</w:t>
            </w:r>
            <w:r w:rsidR="003B1F6D" w:rsidRPr="002501F2">
              <w:rPr>
                <w:rFonts w:cs="Arial"/>
                <w:sz w:val="18"/>
                <w:szCs w:val="18"/>
              </w:rPr>
              <w:t>66.24</w:t>
            </w:r>
            <w:r w:rsidRPr="002501F2">
              <w:rPr>
                <w:rFonts w:cs="Arial"/>
                <w:sz w:val="18"/>
                <w:szCs w:val="18"/>
              </w:rPr>
              <w:t>0</w:t>
            </w:r>
          </w:p>
        </w:tc>
        <w:tc>
          <w:tcPr>
            <w:tcW w:w="511" w:type="dxa"/>
            <w:tcBorders>
              <w:left w:val="single" w:sz="4" w:space="0" w:color="000000"/>
              <w:right w:val="single" w:sz="4" w:space="0" w:color="000000"/>
            </w:tcBorders>
            <w:vAlign w:val="center"/>
          </w:tcPr>
          <w:p w14:paraId="6A462D93" w14:textId="1B533504" w:rsidR="0062153B" w:rsidRPr="002501F2" w:rsidRDefault="001D51B8" w:rsidP="0062153B">
            <w:pPr>
              <w:jc w:val="center"/>
              <w:rPr>
                <w:rFonts w:ascii="Times New Roman" w:hAnsi="Times New Roman"/>
                <w:sz w:val="18"/>
                <w:szCs w:val="18"/>
              </w:rPr>
            </w:pPr>
            <w:r w:rsidRPr="002501F2">
              <w:rPr>
                <w:rFonts w:cs="Arial"/>
                <w:sz w:val="18"/>
                <w:szCs w:val="18"/>
              </w:rPr>
              <w:t>170.357</w:t>
            </w:r>
          </w:p>
        </w:tc>
        <w:tc>
          <w:tcPr>
            <w:tcW w:w="596" w:type="dxa"/>
            <w:tcBorders>
              <w:left w:val="single" w:sz="4" w:space="0" w:color="000000"/>
              <w:right w:val="single" w:sz="4" w:space="0" w:color="000000"/>
            </w:tcBorders>
            <w:vAlign w:val="center"/>
          </w:tcPr>
          <w:p w14:paraId="5EEDA788" w14:textId="77777777" w:rsidR="0062153B" w:rsidRPr="002501F2" w:rsidRDefault="001B556E" w:rsidP="0062153B">
            <w:pPr>
              <w:jc w:val="center"/>
              <w:rPr>
                <w:rFonts w:ascii="Times New Roman" w:hAnsi="Times New Roman"/>
                <w:sz w:val="18"/>
                <w:szCs w:val="18"/>
              </w:rPr>
            </w:pPr>
            <w:r w:rsidRPr="002501F2">
              <w:rPr>
                <w:rFonts w:ascii="Times New Roman" w:hAnsi="Times New Roman"/>
                <w:sz w:val="18"/>
                <w:szCs w:val="18"/>
              </w:rPr>
              <w:t>78.</w:t>
            </w:r>
            <w:r w:rsidR="00E510AC" w:rsidRPr="002501F2">
              <w:rPr>
                <w:rFonts w:ascii="Times New Roman" w:hAnsi="Times New Roman"/>
                <w:sz w:val="18"/>
                <w:szCs w:val="18"/>
              </w:rPr>
              <w:t>954</w:t>
            </w:r>
          </w:p>
          <w:p w14:paraId="214F46E8" w14:textId="125EEE6E" w:rsidR="00E510AC" w:rsidRPr="002501F2" w:rsidRDefault="00E510AC" w:rsidP="0062153B">
            <w:pPr>
              <w:jc w:val="center"/>
              <w:rPr>
                <w:rFonts w:ascii="Times New Roman" w:hAnsi="Times New Roman"/>
                <w:sz w:val="18"/>
                <w:szCs w:val="18"/>
              </w:rPr>
            </w:pPr>
          </w:p>
        </w:tc>
        <w:tc>
          <w:tcPr>
            <w:tcW w:w="708" w:type="dxa"/>
            <w:tcBorders>
              <w:left w:val="single" w:sz="4" w:space="0" w:color="000000"/>
              <w:right w:val="single" w:sz="4" w:space="0" w:color="000000"/>
            </w:tcBorders>
            <w:vAlign w:val="center"/>
          </w:tcPr>
          <w:p w14:paraId="795FF856" w14:textId="4F997631" w:rsidR="0062153B" w:rsidRPr="002501F2" w:rsidRDefault="0062153B" w:rsidP="0062153B">
            <w:pPr>
              <w:jc w:val="center"/>
              <w:rPr>
                <w:rFonts w:ascii="Times New Roman" w:hAnsi="Times New Roman"/>
                <w:sz w:val="18"/>
                <w:szCs w:val="18"/>
              </w:rPr>
            </w:pPr>
            <w:r w:rsidRPr="002501F2">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6F5879" w:rsidRDefault="00D24530" w:rsidP="0062153B">
            <w:pPr>
              <w:jc w:val="center"/>
              <w:rPr>
                <w:rFonts w:ascii="Times New Roman" w:hAnsi="Times New Roman"/>
                <w:sz w:val="18"/>
                <w:szCs w:val="18"/>
              </w:rPr>
            </w:pPr>
            <w:r>
              <w:rPr>
                <w:rFonts w:cs="Arial"/>
                <w:sz w:val="18"/>
                <w:szCs w:val="18"/>
              </w:rPr>
              <w:t>3</w:t>
            </w:r>
            <w:r w:rsidR="001D51B8">
              <w:rPr>
                <w:rFonts w:cs="Arial"/>
                <w:sz w:val="18"/>
                <w:szCs w:val="18"/>
              </w:rPr>
              <w:t>8,25</w:t>
            </w:r>
          </w:p>
        </w:tc>
        <w:tc>
          <w:tcPr>
            <w:tcW w:w="511" w:type="dxa"/>
            <w:tcBorders>
              <w:left w:val="single" w:sz="4" w:space="0" w:color="000000"/>
              <w:right w:val="single" w:sz="4" w:space="0" w:color="000000"/>
            </w:tcBorders>
            <w:vAlign w:val="center"/>
          </w:tcPr>
          <w:p w14:paraId="453AEA73" w14:textId="351F0F86" w:rsidR="0062153B" w:rsidRPr="002501F2" w:rsidRDefault="008D10FE" w:rsidP="0062153B">
            <w:pPr>
              <w:jc w:val="center"/>
              <w:rPr>
                <w:rFonts w:ascii="Times New Roman" w:hAnsi="Times New Roman"/>
                <w:sz w:val="18"/>
                <w:szCs w:val="18"/>
              </w:rPr>
            </w:pPr>
            <w:r w:rsidRPr="002501F2">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2501F2" w:rsidRDefault="008D10FE" w:rsidP="0062153B">
            <w:pPr>
              <w:jc w:val="center"/>
              <w:rPr>
                <w:rFonts w:ascii="Times New Roman" w:hAnsi="Times New Roman"/>
                <w:sz w:val="18"/>
                <w:szCs w:val="18"/>
              </w:rPr>
            </w:pPr>
            <w:r w:rsidRPr="002501F2">
              <w:rPr>
                <w:rFonts w:cs="Arial"/>
                <w:sz w:val="18"/>
                <w:szCs w:val="18"/>
              </w:rPr>
              <w:t>3</w:t>
            </w:r>
            <w:r w:rsidR="00453D5B" w:rsidRPr="002501F2">
              <w:rPr>
                <w:rFonts w:cs="Arial"/>
                <w:sz w:val="18"/>
                <w:szCs w:val="18"/>
              </w:rPr>
              <w:t>5</w:t>
            </w:r>
            <w:r w:rsidRPr="002501F2">
              <w:rPr>
                <w:rFonts w:cs="Arial"/>
                <w:sz w:val="18"/>
                <w:szCs w:val="18"/>
              </w:rPr>
              <w:t>,</w:t>
            </w:r>
            <w:r w:rsidR="00453D5B" w:rsidRPr="002501F2">
              <w:rPr>
                <w:rFonts w:cs="Arial"/>
                <w:sz w:val="18"/>
                <w:szCs w:val="18"/>
              </w:rPr>
              <w:t>7</w:t>
            </w:r>
          </w:p>
        </w:tc>
        <w:tc>
          <w:tcPr>
            <w:tcW w:w="596" w:type="dxa"/>
            <w:tcBorders>
              <w:left w:val="single" w:sz="4" w:space="0" w:color="000000"/>
              <w:right w:val="single" w:sz="4" w:space="0" w:color="000000"/>
            </w:tcBorders>
            <w:vAlign w:val="center"/>
          </w:tcPr>
          <w:p w14:paraId="5BACC026" w14:textId="4F19F8ED" w:rsidR="0062153B" w:rsidRPr="002501F2" w:rsidRDefault="0062153B" w:rsidP="008D10FE">
            <w:pPr>
              <w:jc w:val="center"/>
              <w:rPr>
                <w:rFonts w:cs="Arial"/>
                <w:sz w:val="18"/>
                <w:szCs w:val="18"/>
              </w:rPr>
            </w:pPr>
            <w:r w:rsidRPr="002501F2">
              <w:rPr>
                <w:rFonts w:cs="Arial"/>
                <w:sz w:val="18"/>
                <w:szCs w:val="18"/>
              </w:rPr>
              <w:t>1</w:t>
            </w:r>
            <w:r w:rsidR="00D24530" w:rsidRPr="002501F2">
              <w:rPr>
                <w:rFonts w:cs="Arial"/>
                <w:sz w:val="18"/>
                <w:szCs w:val="18"/>
              </w:rPr>
              <w:t>3</w:t>
            </w:r>
            <w:r w:rsidR="00E25795" w:rsidRPr="002501F2">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2501F2" w:rsidRDefault="0062153B" w:rsidP="0062153B">
            <w:pPr>
              <w:jc w:val="center"/>
              <w:rPr>
                <w:rFonts w:ascii="Times New Roman" w:hAnsi="Times New Roman"/>
                <w:sz w:val="18"/>
                <w:szCs w:val="18"/>
              </w:rPr>
            </w:pPr>
            <w:r w:rsidRPr="002501F2">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6F5879" w:rsidRDefault="0062153B" w:rsidP="0062153B">
            <w:pPr>
              <w:jc w:val="center"/>
              <w:rPr>
                <w:rFonts w:ascii="Times New Roman" w:hAnsi="Times New Roman"/>
                <w:sz w:val="18"/>
                <w:szCs w:val="18"/>
              </w:rPr>
            </w:pPr>
            <w:r>
              <w:rPr>
                <w:rFonts w:cs="Arial"/>
                <w:sz w:val="18"/>
                <w:szCs w:val="18"/>
              </w:rPr>
              <w:t>2</w:t>
            </w:r>
            <w:r w:rsidR="0081630B">
              <w:rPr>
                <w:rFonts w:cs="Arial"/>
                <w:sz w:val="18"/>
                <w:szCs w:val="18"/>
              </w:rPr>
              <w:t>2</w:t>
            </w:r>
            <w:r w:rsidR="009B502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6F5879" w:rsidRDefault="0062153B" w:rsidP="0062153B">
            <w:pPr>
              <w:jc w:val="center"/>
              <w:rPr>
                <w:rFonts w:ascii="Times New Roman" w:hAnsi="Times New Roman"/>
                <w:sz w:val="18"/>
                <w:szCs w:val="18"/>
              </w:rPr>
            </w:pPr>
            <w:r>
              <w:rPr>
                <w:rFonts w:cs="Arial"/>
                <w:sz w:val="18"/>
                <w:szCs w:val="18"/>
              </w:rPr>
              <w:t>24</w:t>
            </w:r>
            <w:r w:rsidR="009B502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2501F2" w:rsidRDefault="0062153B" w:rsidP="0062153B">
            <w:pPr>
              <w:jc w:val="center"/>
              <w:rPr>
                <w:rFonts w:ascii="Times New Roman" w:hAnsi="Times New Roman"/>
                <w:sz w:val="18"/>
                <w:szCs w:val="18"/>
              </w:rPr>
            </w:pPr>
            <w:r w:rsidRPr="002501F2">
              <w:rPr>
                <w:rFonts w:cs="Arial"/>
                <w:sz w:val="18"/>
                <w:szCs w:val="18"/>
              </w:rPr>
              <w:t>2</w:t>
            </w:r>
            <w:r w:rsidR="00D24530" w:rsidRPr="002501F2">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2501F2" w:rsidRDefault="0062153B" w:rsidP="0062153B">
            <w:pPr>
              <w:jc w:val="center"/>
              <w:rPr>
                <w:rFonts w:ascii="Times New Roman" w:hAnsi="Times New Roman"/>
                <w:sz w:val="18"/>
                <w:szCs w:val="18"/>
              </w:rPr>
            </w:pPr>
            <w:r w:rsidRPr="002501F2">
              <w:rPr>
                <w:rFonts w:cs="Arial"/>
                <w:sz w:val="18"/>
                <w:szCs w:val="18"/>
              </w:rPr>
              <w:t>1</w:t>
            </w:r>
            <w:r w:rsidR="00D24530" w:rsidRPr="002501F2">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2501F2" w:rsidRDefault="0062153B" w:rsidP="0062153B">
            <w:pPr>
              <w:jc w:val="center"/>
              <w:rPr>
                <w:rFonts w:ascii="Times New Roman" w:hAnsi="Times New Roman"/>
                <w:sz w:val="18"/>
                <w:szCs w:val="18"/>
              </w:rPr>
            </w:pPr>
            <w:r w:rsidRPr="002501F2">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A5F99C8" w:rsidR="001454A3" w:rsidRPr="004E0388" w:rsidRDefault="00453D5B" w:rsidP="001454A3">
            <w:pPr>
              <w:jc w:val="center"/>
              <w:rPr>
                <w:rFonts w:ascii="Times New Roman" w:hAnsi="Times New Roman"/>
                <w:sz w:val="18"/>
                <w:szCs w:val="22"/>
              </w:rPr>
            </w:pPr>
            <w:r>
              <w:rPr>
                <w:rFonts w:cs="Arial"/>
                <w:sz w:val="18"/>
                <w:szCs w:val="18"/>
                <w:lang w:eastAsia="es-CO"/>
              </w:rPr>
              <w:t>86</w:t>
            </w:r>
            <w:r w:rsidR="001454A3">
              <w:rPr>
                <w:rFonts w:cs="Arial"/>
                <w:sz w:val="18"/>
                <w:szCs w:val="18"/>
                <w:lang w:eastAsia="es-CO"/>
              </w:rPr>
              <w:t>,</w:t>
            </w:r>
            <w:r>
              <w:rPr>
                <w:rFonts w:cs="Arial"/>
                <w:sz w:val="18"/>
                <w:szCs w:val="18"/>
                <w:lang w:eastAsia="es-CO"/>
              </w:rPr>
              <w:t>1</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38</w:t>
            </w:r>
            <w:r w:rsidR="00B619A7" w:rsidRPr="003B1F6D">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w:t>
            </w:r>
            <w:r w:rsidR="00453D5B" w:rsidRPr="003B1F6D">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18DB5D38" w:rsidR="0062153B" w:rsidRPr="002501F2" w:rsidRDefault="00453D5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466</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0534BA0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453D5B">
              <w:rPr>
                <w:rFonts w:ascii="Times New Roman" w:hAnsi="Times New Roman"/>
                <w:color w:val="000000"/>
                <w:sz w:val="22"/>
                <w:szCs w:val="22"/>
                <w:lang w:eastAsia="es-CO"/>
              </w:rPr>
              <w:t>959</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1.0</w:t>
            </w:r>
            <w:r w:rsidR="00F90DB2" w:rsidRPr="003B1F6D">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267BB694"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w:t>
            </w:r>
            <w:r w:rsidR="002638A4" w:rsidRPr="003B1F6D">
              <w:rPr>
                <w:rFonts w:ascii="Times New Roman" w:hAnsi="Times New Roman"/>
                <w:color w:val="000000"/>
                <w:sz w:val="22"/>
                <w:szCs w:val="22"/>
                <w:lang w:eastAsia="es-CO"/>
              </w:rPr>
              <w:t>5</w:t>
            </w:r>
            <w:r w:rsidR="00D05610" w:rsidRPr="003B1F6D">
              <w:rPr>
                <w:rFonts w:ascii="Times New Roman" w:hAnsi="Times New Roman"/>
                <w:color w:val="000000"/>
                <w:sz w:val="22"/>
                <w:szCs w:val="22"/>
                <w:lang w:eastAsia="es-CO"/>
              </w:rPr>
              <w:t>3</w:t>
            </w:r>
            <w:r w:rsidR="003B1F6D" w:rsidRPr="003B1F6D">
              <w:rPr>
                <w:rFonts w:ascii="Times New Roman" w:hAnsi="Times New Roman"/>
                <w:color w:val="000000"/>
                <w:sz w:val="22"/>
                <w:szCs w:val="22"/>
                <w:lang w:eastAsia="es-CO"/>
              </w:rPr>
              <w:t>0</w:t>
            </w:r>
          </w:p>
        </w:tc>
        <w:tc>
          <w:tcPr>
            <w:tcW w:w="720" w:type="dxa"/>
            <w:tcBorders>
              <w:top w:val="nil"/>
              <w:left w:val="nil"/>
              <w:bottom w:val="single" w:sz="4" w:space="0" w:color="auto"/>
              <w:right w:val="single" w:sz="4" w:space="0" w:color="auto"/>
            </w:tcBorders>
            <w:shd w:val="clear" w:color="auto" w:fill="auto"/>
            <w:noWrap/>
            <w:vAlign w:val="center"/>
          </w:tcPr>
          <w:p w14:paraId="280587A3" w14:textId="7F91A0F6"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1.</w:t>
            </w:r>
            <w:r w:rsidR="00453D5B" w:rsidRPr="002501F2">
              <w:rPr>
                <w:rFonts w:ascii="Times New Roman" w:hAnsi="Times New Roman"/>
                <w:color w:val="000000"/>
                <w:sz w:val="22"/>
                <w:szCs w:val="22"/>
                <w:lang w:eastAsia="es-CO"/>
              </w:rPr>
              <w:t>642</w:t>
            </w:r>
          </w:p>
        </w:tc>
        <w:tc>
          <w:tcPr>
            <w:tcW w:w="719" w:type="dxa"/>
            <w:tcBorders>
              <w:top w:val="nil"/>
              <w:left w:val="nil"/>
              <w:bottom w:val="single" w:sz="4" w:space="0" w:color="auto"/>
              <w:right w:val="single" w:sz="4" w:space="0" w:color="auto"/>
            </w:tcBorders>
            <w:shd w:val="clear" w:color="auto" w:fill="auto"/>
            <w:noWrap/>
            <w:vAlign w:val="center"/>
          </w:tcPr>
          <w:p w14:paraId="77312E16" w14:textId="0F066C7E"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1.</w:t>
            </w:r>
            <w:r w:rsidR="00453D5B" w:rsidRPr="002501F2">
              <w:rPr>
                <w:rFonts w:ascii="Times New Roman" w:hAnsi="Times New Roman"/>
                <w:color w:val="000000"/>
                <w:sz w:val="22"/>
                <w:szCs w:val="22"/>
                <w:lang w:eastAsia="es-CO"/>
              </w:rPr>
              <w:t>323</w:t>
            </w:r>
          </w:p>
        </w:tc>
        <w:tc>
          <w:tcPr>
            <w:tcW w:w="769" w:type="dxa"/>
            <w:tcBorders>
              <w:top w:val="nil"/>
              <w:left w:val="nil"/>
              <w:bottom w:val="single" w:sz="4" w:space="0" w:color="auto"/>
              <w:right w:val="single" w:sz="4" w:space="0" w:color="auto"/>
            </w:tcBorders>
            <w:shd w:val="clear" w:color="auto" w:fill="auto"/>
            <w:noWrap/>
            <w:vAlign w:val="center"/>
          </w:tcPr>
          <w:p w14:paraId="34C1F2D6" w14:textId="0E12389A"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w:t>
            </w:r>
            <w:r w:rsidR="00732759">
              <w:rPr>
                <w:rFonts w:ascii="Times New Roman" w:hAnsi="Times New Roman"/>
                <w:color w:val="000000"/>
                <w:sz w:val="22"/>
                <w:szCs w:val="22"/>
                <w:lang w:eastAsia="es-CO"/>
              </w:rPr>
              <w:t>38</w:t>
            </w:r>
            <w:r w:rsidR="00136442">
              <w:rPr>
                <w:rFonts w:ascii="Times New Roman" w:hAnsi="Times New Roman"/>
                <w:color w:val="000000"/>
                <w:sz w:val="22"/>
                <w:szCs w:val="22"/>
                <w:lang w:eastAsia="es-CO"/>
              </w:rPr>
              <w:t>7</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3B1F6D" w:rsidRDefault="00A33FD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676EDB47" w:rsidR="0062153B" w:rsidRPr="003B1F6D" w:rsidRDefault="00B64CA0"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63908C9F" w:rsidR="0062153B" w:rsidRPr="002501F2" w:rsidRDefault="00453D5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701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5E0B8465"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EB6AA1">
              <w:rPr>
                <w:rFonts w:ascii="Times New Roman" w:hAnsi="Times New Roman"/>
                <w:color w:val="000000"/>
                <w:sz w:val="22"/>
                <w:szCs w:val="22"/>
                <w:lang w:eastAsia="es-CO"/>
              </w:rPr>
              <w:t>.6</w:t>
            </w:r>
            <w:r w:rsidR="00136442">
              <w:rPr>
                <w:rFonts w:ascii="Times New Roman" w:hAnsi="Times New Roman"/>
                <w:color w:val="000000"/>
                <w:sz w:val="22"/>
                <w:szCs w:val="22"/>
                <w:lang w:eastAsia="es-CO"/>
              </w:rPr>
              <w:t>40</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A33FD5">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2</w:t>
            </w:r>
            <w:r w:rsidR="00A33FD5" w:rsidRPr="003B1F6D">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053631D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5</w:t>
            </w:r>
            <w:r w:rsidR="00DF6743" w:rsidRPr="003B1F6D">
              <w:rPr>
                <w:rFonts w:ascii="Times New Roman" w:hAnsi="Times New Roman"/>
                <w:color w:val="000000"/>
                <w:sz w:val="22"/>
                <w:szCs w:val="22"/>
                <w:lang w:eastAsia="es-CO"/>
              </w:rPr>
              <w:t>20</w:t>
            </w:r>
          </w:p>
        </w:tc>
        <w:tc>
          <w:tcPr>
            <w:tcW w:w="720" w:type="dxa"/>
            <w:tcBorders>
              <w:top w:val="nil"/>
              <w:left w:val="nil"/>
              <w:right w:val="single" w:sz="4" w:space="0" w:color="auto"/>
            </w:tcBorders>
            <w:shd w:val="clear" w:color="auto" w:fill="auto"/>
            <w:noWrap/>
            <w:vAlign w:val="center"/>
          </w:tcPr>
          <w:p w14:paraId="2A223273" w14:textId="3307C6E5" w:rsidR="0062153B" w:rsidRPr="002501F2" w:rsidRDefault="00453D5B" w:rsidP="0062153B">
            <w:pPr>
              <w:rPr>
                <w:rFonts w:ascii="Times New Roman" w:hAnsi="Times New Roman"/>
                <w:color w:val="000000"/>
                <w:sz w:val="22"/>
                <w:szCs w:val="22"/>
                <w:lang w:eastAsia="es-CO"/>
              </w:rPr>
            </w:pPr>
            <w:r w:rsidRPr="002501F2">
              <w:rPr>
                <w:rFonts w:ascii="Times New Roman" w:hAnsi="Times New Roman"/>
                <w:color w:val="000000"/>
                <w:sz w:val="22"/>
                <w:szCs w:val="22"/>
                <w:lang w:eastAsia="es-CO"/>
              </w:rPr>
              <w:t>584</w:t>
            </w:r>
          </w:p>
        </w:tc>
        <w:tc>
          <w:tcPr>
            <w:tcW w:w="719" w:type="dxa"/>
            <w:tcBorders>
              <w:top w:val="nil"/>
              <w:left w:val="nil"/>
              <w:right w:val="single" w:sz="4" w:space="0" w:color="auto"/>
            </w:tcBorders>
            <w:shd w:val="clear" w:color="auto" w:fill="auto"/>
            <w:noWrap/>
            <w:vAlign w:val="center"/>
          </w:tcPr>
          <w:p w14:paraId="7CF6301A" w14:textId="70D8F038"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0021CABA"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2.</w:t>
            </w:r>
            <w:r w:rsidR="00D04A31" w:rsidRPr="002501F2">
              <w:rPr>
                <w:rFonts w:ascii="Times New Roman" w:hAnsi="Times New Roman"/>
                <w:color w:val="000000"/>
                <w:sz w:val="22"/>
                <w:szCs w:val="22"/>
                <w:lang w:eastAsia="es-CO"/>
              </w:rPr>
              <w:t>1</w:t>
            </w:r>
            <w:r w:rsidR="003B309F" w:rsidRPr="002501F2">
              <w:rPr>
                <w:rFonts w:ascii="Times New Roman" w:hAnsi="Times New Roman"/>
                <w:color w:val="000000"/>
                <w:sz w:val="22"/>
                <w:szCs w:val="22"/>
                <w:lang w:eastAsia="es-CO"/>
              </w:rPr>
              <w:t>07</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w:t>
            </w:r>
            <w:r w:rsidR="00A33FD5">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6AF11FA" w:rsidR="0062153B" w:rsidRPr="00F90DB2" w:rsidRDefault="007E65F5"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3.</w:t>
            </w:r>
            <w:r w:rsidR="00E91B20">
              <w:rPr>
                <w:rFonts w:ascii="Times New Roman" w:hAnsi="Times New Roman"/>
                <w:b/>
                <w:bCs/>
                <w:color w:val="000000"/>
                <w:sz w:val="22"/>
                <w:szCs w:val="22"/>
              </w:rPr>
              <w:t>251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81EB837" w:rsidR="0062153B" w:rsidRPr="002501F2" w:rsidRDefault="00D04A31" w:rsidP="0062153B">
            <w:pPr>
              <w:jc w:val="center"/>
              <w:rPr>
                <w:rFonts w:ascii="Times New Roman" w:hAnsi="Times New Roman"/>
                <w:b/>
                <w:bCs/>
                <w:color w:val="000000"/>
                <w:sz w:val="22"/>
                <w:szCs w:val="22"/>
              </w:rPr>
            </w:pPr>
            <w:r w:rsidRPr="002501F2">
              <w:rPr>
                <w:rFonts w:ascii="Times New Roman" w:hAnsi="Times New Roman"/>
                <w:b/>
                <w:bCs/>
                <w:color w:val="000000"/>
                <w:sz w:val="22"/>
                <w:szCs w:val="22"/>
              </w:rPr>
              <w:t>3.393</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2501F2" w:rsidRDefault="0062153B" w:rsidP="0062153B">
            <w:pPr>
              <w:jc w:val="center"/>
              <w:rPr>
                <w:rFonts w:ascii="Times New Roman" w:hAnsi="Times New Roman"/>
                <w:b/>
                <w:bCs/>
                <w:color w:val="000000"/>
                <w:sz w:val="22"/>
                <w:szCs w:val="22"/>
              </w:rPr>
            </w:pPr>
            <w:r w:rsidRPr="002501F2">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3E7B23E0" w:rsidR="0062153B" w:rsidRPr="002501F2" w:rsidRDefault="00C83283" w:rsidP="0062153B">
            <w:pPr>
              <w:jc w:val="center"/>
              <w:rPr>
                <w:rFonts w:ascii="Times New Roman" w:hAnsi="Times New Roman"/>
                <w:b/>
                <w:bCs/>
                <w:color w:val="000000"/>
                <w:sz w:val="22"/>
                <w:szCs w:val="22"/>
              </w:rPr>
            </w:pPr>
            <w:r w:rsidRPr="002501F2">
              <w:rPr>
                <w:rFonts w:ascii="Times New Roman" w:hAnsi="Times New Roman"/>
                <w:b/>
                <w:bCs/>
                <w:color w:val="000000"/>
                <w:sz w:val="22"/>
                <w:szCs w:val="22"/>
              </w:rPr>
              <w:t>13.</w:t>
            </w:r>
            <w:r w:rsidR="00136442" w:rsidRPr="002501F2">
              <w:rPr>
                <w:rFonts w:ascii="Times New Roman" w:hAnsi="Times New Roman"/>
                <w:b/>
                <w:bCs/>
                <w:color w:val="000000"/>
                <w:sz w:val="22"/>
                <w:szCs w:val="22"/>
              </w:rPr>
              <w:t>093</w:t>
            </w:r>
          </w:p>
        </w:tc>
      </w:tr>
    </w:tbl>
    <w:p w14:paraId="6C83369C" w14:textId="620A2711" w:rsidR="006E0E5C" w:rsidRPr="00482CAB"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1002C6">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32"/>
        <w:gridCol w:w="711"/>
        <w:gridCol w:w="711"/>
        <w:gridCol w:w="655"/>
        <w:gridCol w:w="655"/>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0C43142C" w:rsidR="00293AAF" w:rsidRPr="003B1F6D" w:rsidRDefault="00293AAF" w:rsidP="00293AAF">
            <w:pPr>
              <w:jc w:val="center"/>
              <w:rPr>
                <w:rFonts w:ascii="Times New Roman" w:hAnsi="Times New Roman"/>
                <w:sz w:val="22"/>
                <w:szCs w:val="22"/>
              </w:rPr>
            </w:pPr>
            <w:r w:rsidRPr="003B1F6D">
              <w:rPr>
                <w:rFonts w:cs="Arial"/>
                <w:sz w:val="18"/>
                <w:szCs w:val="18"/>
              </w:rPr>
              <w:t>2.</w:t>
            </w:r>
            <w:r w:rsidR="00783783" w:rsidRPr="003B1F6D">
              <w:rPr>
                <w:rFonts w:cs="Arial"/>
                <w:sz w:val="18"/>
                <w:szCs w:val="18"/>
              </w:rPr>
              <w:t>7</w:t>
            </w:r>
            <w:r w:rsidR="003B1F6D" w:rsidRPr="003B1F6D">
              <w:rPr>
                <w:rFonts w:cs="Arial"/>
                <w:sz w:val="18"/>
                <w:szCs w:val="18"/>
              </w:rPr>
              <w:t>31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5EAC6406" w:rsidR="00293AAF" w:rsidRPr="00293AAF" w:rsidRDefault="00293AAF" w:rsidP="00293AAF">
            <w:pPr>
              <w:jc w:val="center"/>
              <w:rPr>
                <w:rFonts w:ascii="Times New Roman" w:hAnsi="Times New Roman"/>
                <w:sz w:val="22"/>
                <w:szCs w:val="22"/>
              </w:rPr>
            </w:pPr>
            <w:r w:rsidRPr="00293AAF">
              <w:rPr>
                <w:rFonts w:cs="Arial"/>
                <w:sz w:val="18"/>
                <w:szCs w:val="18"/>
              </w:rPr>
              <w:t>2.</w:t>
            </w:r>
            <w:r w:rsidR="00D04A31">
              <w:rPr>
                <w:rFonts w:cs="Arial"/>
                <w:sz w:val="18"/>
                <w:szCs w:val="18"/>
              </w:rPr>
              <w:t>809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035168AB" w:rsidR="00293AAF" w:rsidRPr="00293AAF" w:rsidRDefault="003C3E8F" w:rsidP="00293AAF">
            <w:pPr>
              <w:jc w:val="center"/>
              <w:rPr>
                <w:rFonts w:ascii="Times New Roman" w:hAnsi="Times New Roman"/>
                <w:sz w:val="22"/>
                <w:szCs w:val="22"/>
              </w:rPr>
            </w:pPr>
            <w:r>
              <w:rPr>
                <w:rFonts w:ascii="Times New Roman" w:hAnsi="Times New Roman"/>
                <w:sz w:val="22"/>
                <w:szCs w:val="22"/>
              </w:rPr>
              <w:t>1</w:t>
            </w:r>
            <w:r w:rsidR="00136442">
              <w:rPr>
                <w:rFonts w:ascii="Times New Roman" w:hAnsi="Times New Roman"/>
                <w:sz w:val="22"/>
                <w:szCs w:val="22"/>
              </w:rPr>
              <w:t>0</w:t>
            </w:r>
            <w:r w:rsidR="00783783">
              <w:rPr>
                <w:rFonts w:ascii="Times New Roman" w:hAnsi="Times New Roman"/>
                <w:sz w:val="22"/>
                <w:szCs w:val="22"/>
              </w:rPr>
              <w:t>.</w:t>
            </w:r>
            <w:r w:rsidR="00136442">
              <w:rPr>
                <w:rFonts w:ascii="Times New Roman" w:hAnsi="Times New Roman"/>
                <w:sz w:val="22"/>
                <w:szCs w:val="22"/>
              </w:rPr>
              <w:t>986</w:t>
            </w:r>
          </w:p>
        </w:tc>
      </w:tr>
      <w:tr w:rsidR="00D04A31"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D04A31" w:rsidRPr="000C60CB" w:rsidRDefault="00D04A31" w:rsidP="00D04A31">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4F83BD9"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361CFC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70884597"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394CBC6A"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584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1E4209BE"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7A059D65"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2.1</w:t>
            </w:r>
            <w:r w:rsidR="0005552E">
              <w:rPr>
                <w:rFonts w:ascii="Times New Roman" w:hAnsi="Times New Roman"/>
                <w:color w:val="000000"/>
                <w:sz w:val="22"/>
                <w:szCs w:val="22"/>
                <w:lang w:eastAsia="es-CO"/>
              </w:rPr>
              <w:t>07</w:t>
            </w:r>
          </w:p>
        </w:tc>
      </w:tr>
      <w:tr w:rsidR="00D04A31"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D04A31" w:rsidRPr="0018003D" w:rsidRDefault="00D04A31" w:rsidP="00D04A31">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4860905" w:rsidR="00D04A31" w:rsidRPr="00E07DC6" w:rsidRDefault="00D04A31" w:rsidP="00D04A31">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299DE803" w:rsidR="00D04A31" w:rsidRPr="00F90DB2" w:rsidRDefault="00D04A31" w:rsidP="00D04A31">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6AFEB0B4" w:rsidR="00D04A31" w:rsidRPr="003B1F6D" w:rsidRDefault="00D04A31" w:rsidP="00D04A31">
            <w:pPr>
              <w:jc w:val="center"/>
              <w:rPr>
                <w:rFonts w:ascii="Times New Roman" w:hAnsi="Times New Roman"/>
                <w:b/>
                <w:bCs/>
                <w:sz w:val="22"/>
                <w:szCs w:val="22"/>
              </w:rPr>
            </w:pPr>
            <w:r w:rsidRPr="003B1F6D">
              <w:rPr>
                <w:rFonts w:ascii="Times New Roman" w:hAnsi="Times New Roman"/>
                <w:b/>
                <w:bCs/>
                <w:color w:val="000000"/>
                <w:sz w:val="22"/>
                <w:szCs w:val="22"/>
              </w:rPr>
              <w:t>3.</w:t>
            </w:r>
            <w:r w:rsidR="003B1F6D" w:rsidRPr="003B1F6D">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4E541D14" w:rsidR="00D04A31" w:rsidRPr="002501F2" w:rsidRDefault="00D04A31" w:rsidP="00D04A31">
            <w:pPr>
              <w:jc w:val="center"/>
              <w:rPr>
                <w:rFonts w:ascii="Times New Roman" w:hAnsi="Times New Roman"/>
                <w:b/>
                <w:bCs/>
                <w:sz w:val="22"/>
                <w:szCs w:val="22"/>
              </w:rPr>
            </w:pPr>
            <w:r w:rsidRPr="002501F2">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05A4E12F" w:rsidR="00D04A31" w:rsidRPr="002501F2" w:rsidRDefault="00D04A31" w:rsidP="00D04A31">
            <w:pPr>
              <w:jc w:val="center"/>
              <w:rPr>
                <w:rFonts w:ascii="Times New Roman" w:hAnsi="Times New Roman"/>
                <w:b/>
                <w:bCs/>
                <w:sz w:val="22"/>
                <w:szCs w:val="22"/>
              </w:rPr>
            </w:pPr>
            <w:r w:rsidRPr="002501F2">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4B9FEE06"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75"/>
        <w:gridCol w:w="711"/>
        <w:gridCol w:w="711"/>
        <w:gridCol w:w="655"/>
        <w:gridCol w:w="655"/>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A375ED"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A375ED" w:rsidRPr="000C60CB" w:rsidRDefault="00A375ED" w:rsidP="00A375ED">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2311BE27" w:rsidR="00A375ED" w:rsidRPr="0018003D" w:rsidRDefault="00A375ED" w:rsidP="00A375ED">
            <w:pPr>
              <w:jc w:val="center"/>
              <w:rPr>
                <w:rFonts w:ascii="Times New Roman" w:hAnsi="Times New Roman"/>
                <w:sz w:val="22"/>
                <w:szCs w:val="22"/>
              </w:rPr>
            </w:pPr>
            <w:r>
              <w:rPr>
                <w:color w:val="000000"/>
                <w:sz w:val="22"/>
                <w:szCs w:val="22"/>
              </w:rPr>
              <w:t>227</w:t>
            </w:r>
          </w:p>
        </w:tc>
        <w:tc>
          <w:tcPr>
            <w:tcW w:w="0" w:type="auto"/>
            <w:shd w:val="clear" w:color="auto" w:fill="FFFFFF"/>
            <w:tcMar>
              <w:top w:w="100" w:type="dxa"/>
              <w:left w:w="80" w:type="dxa"/>
              <w:bottom w:w="100" w:type="dxa"/>
              <w:right w:w="80" w:type="dxa"/>
            </w:tcMar>
            <w:vAlign w:val="center"/>
          </w:tcPr>
          <w:p w14:paraId="0186EB56" w14:textId="1602F541" w:rsidR="00A375ED" w:rsidRPr="0018003D" w:rsidRDefault="00A375ED" w:rsidP="00A375ED">
            <w:pPr>
              <w:jc w:val="center"/>
              <w:rPr>
                <w:rFonts w:ascii="Times New Roman" w:hAnsi="Times New Roman"/>
                <w:sz w:val="22"/>
                <w:szCs w:val="22"/>
              </w:rPr>
            </w:pPr>
            <w:r>
              <w:rPr>
                <w:color w:val="000000"/>
                <w:sz w:val="22"/>
                <w:szCs w:val="22"/>
              </w:rPr>
              <w:t>387</w:t>
            </w:r>
          </w:p>
        </w:tc>
        <w:tc>
          <w:tcPr>
            <w:tcW w:w="0" w:type="auto"/>
            <w:shd w:val="clear" w:color="auto" w:fill="FFFFFF"/>
            <w:tcMar>
              <w:top w:w="100" w:type="dxa"/>
              <w:left w:w="80" w:type="dxa"/>
              <w:bottom w:w="100" w:type="dxa"/>
              <w:right w:w="80" w:type="dxa"/>
            </w:tcMar>
            <w:vAlign w:val="center"/>
          </w:tcPr>
          <w:p w14:paraId="2FFEFD10" w14:textId="0A502119" w:rsidR="00A375ED" w:rsidRPr="003B1F6D" w:rsidRDefault="00A375ED" w:rsidP="00A375ED">
            <w:pPr>
              <w:jc w:val="center"/>
              <w:rPr>
                <w:rFonts w:ascii="Times New Roman" w:hAnsi="Times New Roman"/>
                <w:sz w:val="22"/>
                <w:szCs w:val="22"/>
              </w:rPr>
            </w:pPr>
            <w:r w:rsidRPr="003B1F6D">
              <w:rPr>
                <w:color w:val="000000"/>
                <w:sz w:val="22"/>
                <w:szCs w:val="22"/>
              </w:rPr>
              <w:t>477</w:t>
            </w:r>
          </w:p>
        </w:tc>
        <w:tc>
          <w:tcPr>
            <w:tcW w:w="0" w:type="auto"/>
            <w:shd w:val="clear" w:color="auto" w:fill="FFFFFF"/>
            <w:tcMar>
              <w:top w:w="100" w:type="dxa"/>
              <w:left w:w="80" w:type="dxa"/>
              <w:bottom w:w="100" w:type="dxa"/>
              <w:right w:w="80" w:type="dxa"/>
            </w:tcMar>
            <w:vAlign w:val="center"/>
          </w:tcPr>
          <w:p w14:paraId="643F18D7" w14:textId="42B8C253" w:rsidR="00A375ED" w:rsidRPr="002501F2" w:rsidRDefault="00A375ED" w:rsidP="00A375ED">
            <w:pPr>
              <w:jc w:val="center"/>
              <w:rPr>
                <w:rFonts w:ascii="Times New Roman" w:hAnsi="Times New Roman"/>
                <w:sz w:val="22"/>
                <w:szCs w:val="22"/>
              </w:rPr>
            </w:pPr>
            <w:r w:rsidRPr="002501F2">
              <w:rPr>
                <w:color w:val="000000"/>
                <w:sz w:val="22"/>
                <w:szCs w:val="22"/>
              </w:rPr>
              <w:t>466</w:t>
            </w:r>
          </w:p>
        </w:tc>
        <w:tc>
          <w:tcPr>
            <w:tcW w:w="0" w:type="auto"/>
            <w:shd w:val="clear" w:color="auto" w:fill="FFFFFF"/>
            <w:tcMar>
              <w:top w:w="100" w:type="dxa"/>
              <w:left w:w="80" w:type="dxa"/>
              <w:bottom w:w="100" w:type="dxa"/>
              <w:right w:w="80" w:type="dxa"/>
            </w:tcMar>
            <w:vAlign w:val="center"/>
          </w:tcPr>
          <w:p w14:paraId="63A8E721" w14:textId="3F1D9AF1" w:rsidR="00A375ED" w:rsidRPr="002501F2" w:rsidRDefault="00A375ED" w:rsidP="00A375ED">
            <w:pPr>
              <w:jc w:val="center"/>
              <w:rPr>
                <w:rFonts w:ascii="Times New Roman" w:hAnsi="Times New Roman"/>
                <w:sz w:val="22"/>
                <w:szCs w:val="22"/>
              </w:rPr>
            </w:pPr>
            <w:r w:rsidRPr="002501F2">
              <w:rPr>
                <w:color w:val="000000"/>
                <w:sz w:val="22"/>
                <w:szCs w:val="22"/>
              </w:rPr>
              <w:t>402</w:t>
            </w:r>
          </w:p>
        </w:tc>
        <w:tc>
          <w:tcPr>
            <w:tcW w:w="0" w:type="auto"/>
            <w:shd w:val="clear" w:color="auto" w:fill="FFFFFF"/>
            <w:tcMar>
              <w:top w:w="100" w:type="dxa"/>
              <w:left w:w="80" w:type="dxa"/>
              <w:bottom w:w="100" w:type="dxa"/>
              <w:right w:w="80" w:type="dxa"/>
            </w:tcMar>
            <w:vAlign w:val="center"/>
          </w:tcPr>
          <w:p w14:paraId="61B7B840" w14:textId="0FE12E9B" w:rsidR="00A375ED" w:rsidRPr="00AF75DD" w:rsidRDefault="00A375ED" w:rsidP="00A375ED">
            <w:pPr>
              <w:jc w:val="center"/>
              <w:rPr>
                <w:rFonts w:ascii="Times New Roman" w:hAnsi="Times New Roman"/>
                <w:sz w:val="22"/>
                <w:szCs w:val="22"/>
                <w:highlight w:val="green"/>
              </w:rPr>
            </w:pPr>
            <w:r>
              <w:rPr>
                <w:color w:val="000000"/>
                <w:sz w:val="22"/>
                <w:szCs w:val="22"/>
              </w:rPr>
              <w:t>1.959</w:t>
            </w:r>
          </w:p>
        </w:tc>
      </w:tr>
      <w:tr w:rsidR="00D04A31"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D04A31" w:rsidRPr="000C60CB" w:rsidRDefault="00D04A31" w:rsidP="00D04A31">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11286F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09BCBBD" w:rsidR="00D04A31" w:rsidRPr="0084665E" w:rsidRDefault="00D04A31" w:rsidP="00D04A31">
            <w:pPr>
              <w:jc w:val="center"/>
              <w:rPr>
                <w:rFonts w:ascii="Times New Roman" w:hAnsi="Times New Roman"/>
                <w:sz w:val="22"/>
                <w:szCs w:val="22"/>
              </w:rPr>
            </w:pPr>
            <w:r w:rsidRPr="0084665E">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11CC388F" w:rsidR="00D04A31" w:rsidRPr="003B1F6D" w:rsidRDefault="00A375ED" w:rsidP="00D04A31">
            <w:pPr>
              <w:jc w:val="center"/>
              <w:rPr>
                <w:rFonts w:ascii="Times New Roman" w:hAnsi="Times New Roman"/>
                <w:sz w:val="22"/>
                <w:szCs w:val="22"/>
              </w:rPr>
            </w:pPr>
            <w:r w:rsidRPr="003B1F6D">
              <w:rPr>
                <w:rFonts w:ascii="Times New Roman" w:hAnsi="Times New Roman"/>
                <w:sz w:val="22"/>
                <w:szCs w:val="22"/>
              </w:rPr>
              <w:t>1.53</w:t>
            </w:r>
            <w:r w:rsidR="003B1F6D" w:rsidRPr="003B1F6D">
              <w:rPr>
                <w:rFonts w:ascii="Times New Roman" w:hAnsi="Times New Roman"/>
                <w:sz w:val="22"/>
                <w:szCs w:val="22"/>
              </w:rPr>
              <w:t>0</w:t>
            </w:r>
          </w:p>
        </w:tc>
        <w:tc>
          <w:tcPr>
            <w:tcW w:w="0" w:type="auto"/>
            <w:shd w:val="clear" w:color="auto" w:fill="FFFFFF"/>
            <w:tcMar>
              <w:top w:w="100" w:type="dxa"/>
              <w:left w:w="80" w:type="dxa"/>
              <w:bottom w:w="100" w:type="dxa"/>
              <w:right w:w="80" w:type="dxa"/>
            </w:tcMar>
            <w:vAlign w:val="center"/>
          </w:tcPr>
          <w:p w14:paraId="7844CFEC" w14:textId="7BDBD031"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1.642</w:t>
            </w:r>
          </w:p>
        </w:tc>
        <w:tc>
          <w:tcPr>
            <w:tcW w:w="0" w:type="auto"/>
            <w:shd w:val="clear" w:color="auto" w:fill="FFFFFF"/>
            <w:tcMar>
              <w:top w:w="100" w:type="dxa"/>
              <w:left w:w="80" w:type="dxa"/>
              <w:bottom w:w="100" w:type="dxa"/>
              <w:right w:w="80" w:type="dxa"/>
            </w:tcMar>
            <w:vAlign w:val="center"/>
          </w:tcPr>
          <w:p w14:paraId="02E97E49" w14:textId="309B699C"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66228A2A"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6.3</w:t>
            </w:r>
            <w:r w:rsidR="0084665E">
              <w:rPr>
                <w:rFonts w:ascii="Times New Roman" w:hAnsi="Times New Roman"/>
                <w:color w:val="000000"/>
                <w:sz w:val="22"/>
                <w:szCs w:val="22"/>
                <w:lang w:eastAsia="es-CO"/>
              </w:rPr>
              <w:t>8</w:t>
            </w:r>
            <w:r w:rsidR="00136442">
              <w:rPr>
                <w:rFonts w:ascii="Times New Roman" w:hAnsi="Times New Roman"/>
                <w:color w:val="000000"/>
                <w:sz w:val="22"/>
                <w:szCs w:val="22"/>
                <w:lang w:eastAsia="es-CO"/>
              </w:rPr>
              <w:t>7</w:t>
            </w:r>
          </w:p>
        </w:tc>
      </w:tr>
      <w:tr w:rsidR="00D04A31"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D04A31" w:rsidRPr="00796593" w:rsidRDefault="00D04A31" w:rsidP="00D04A31">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B3100FF"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47094F8E"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47DFD08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0" w:type="auto"/>
            <w:shd w:val="clear" w:color="auto" w:fill="FFFFFF"/>
            <w:tcMar>
              <w:top w:w="100" w:type="dxa"/>
              <w:left w:w="80" w:type="dxa"/>
              <w:bottom w:w="100" w:type="dxa"/>
              <w:right w:w="80" w:type="dxa"/>
            </w:tcMar>
            <w:vAlign w:val="center"/>
          </w:tcPr>
          <w:p w14:paraId="075EDA3D" w14:textId="374390F9"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701</w:t>
            </w:r>
          </w:p>
        </w:tc>
        <w:tc>
          <w:tcPr>
            <w:tcW w:w="0" w:type="auto"/>
            <w:shd w:val="clear" w:color="auto" w:fill="FFFFFF"/>
            <w:tcMar>
              <w:top w:w="100" w:type="dxa"/>
              <w:left w:w="80" w:type="dxa"/>
              <w:bottom w:w="100" w:type="dxa"/>
              <w:right w:w="80" w:type="dxa"/>
            </w:tcMar>
            <w:vAlign w:val="center"/>
          </w:tcPr>
          <w:p w14:paraId="5CE71014" w14:textId="246521B9"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1985B5D7"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D04A31"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D04A31" w:rsidRPr="00796593" w:rsidRDefault="00D04A31" w:rsidP="00D04A31">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FBEEC55"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1C8F15E0"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7E477DC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shd w:val="clear" w:color="auto" w:fill="FFFFFF"/>
            <w:tcMar>
              <w:top w:w="100" w:type="dxa"/>
              <w:left w:w="80" w:type="dxa"/>
              <w:bottom w:w="100" w:type="dxa"/>
              <w:right w:w="80" w:type="dxa"/>
            </w:tcMar>
            <w:vAlign w:val="center"/>
          </w:tcPr>
          <w:p w14:paraId="2998BFC2" w14:textId="25D8CA8A"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584</w:t>
            </w:r>
          </w:p>
        </w:tc>
        <w:tc>
          <w:tcPr>
            <w:tcW w:w="0" w:type="auto"/>
            <w:shd w:val="clear" w:color="auto" w:fill="FFFFFF"/>
            <w:tcMar>
              <w:top w:w="100" w:type="dxa"/>
              <w:left w:w="80" w:type="dxa"/>
              <w:bottom w:w="100" w:type="dxa"/>
              <w:right w:w="80" w:type="dxa"/>
            </w:tcMar>
            <w:vAlign w:val="center"/>
          </w:tcPr>
          <w:p w14:paraId="64013816" w14:textId="65D4DFE7"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79097B78"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2.1</w:t>
            </w:r>
            <w:r w:rsidR="00B976A7">
              <w:rPr>
                <w:rFonts w:ascii="Times New Roman" w:hAnsi="Times New Roman"/>
                <w:color w:val="000000"/>
                <w:sz w:val="22"/>
                <w:szCs w:val="22"/>
                <w:lang w:eastAsia="es-CO"/>
              </w:rPr>
              <w:t>07</w:t>
            </w:r>
          </w:p>
        </w:tc>
      </w:tr>
      <w:tr w:rsidR="00D04A31"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D04A31" w:rsidRPr="0000630A" w:rsidRDefault="00D04A31" w:rsidP="00D04A31">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06EB098" w:rsidR="00D04A31" w:rsidRPr="00352F6F" w:rsidRDefault="00D04A31" w:rsidP="00D04A31">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040BAC98" w:rsidR="00D04A31" w:rsidRPr="00F90DB2" w:rsidRDefault="00D04A31" w:rsidP="00D04A31">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1C9BE697"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3.</w:t>
            </w:r>
            <w:r w:rsidR="00B976A7">
              <w:rPr>
                <w:rFonts w:ascii="Times New Roman" w:hAnsi="Times New Roman"/>
                <w:b/>
                <w:bCs/>
                <w:color w:val="000000"/>
                <w:sz w:val="22"/>
                <w:szCs w:val="22"/>
              </w:rPr>
              <w:t>251</w:t>
            </w:r>
          </w:p>
        </w:tc>
        <w:tc>
          <w:tcPr>
            <w:tcW w:w="0" w:type="auto"/>
            <w:shd w:val="clear" w:color="auto" w:fill="FFFFFF"/>
            <w:tcMar>
              <w:top w:w="100" w:type="dxa"/>
              <w:left w:w="80" w:type="dxa"/>
              <w:bottom w:w="100" w:type="dxa"/>
              <w:right w:w="80" w:type="dxa"/>
            </w:tcMar>
            <w:vAlign w:val="center"/>
          </w:tcPr>
          <w:p w14:paraId="68A15C29" w14:textId="099E5D10" w:rsidR="00D04A31" w:rsidRPr="002501F2" w:rsidRDefault="00D04A31" w:rsidP="00D04A31">
            <w:pPr>
              <w:jc w:val="center"/>
              <w:rPr>
                <w:rFonts w:ascii="Times New Roman" w:hAnsi="Times New Roman"/>
                <w:b/>
                <w:sz w:val="22"/>
                <w:szCs w:val="22"/>
              </w:rPr>
            </w:pPr>
            <w:r w:rsidRPr="002501F2">
              <w:rPr>
                <w:rFonts w:ascii="Times New Roman" w:hAnsi="Times New Roman"/>
                <w:b/>
                <w:bCs/>
                <w:color w:val="000000"/>
                <w:sz w:val="22"/>
                <w:szCs w:val="22"/>
              </w:rPr>
              <w:t>3.393</w:t>
            </w:r>
          </w:p>
        </w:tc>
        <w:tc>
          <w:tcPr>
            <w:tcW w:w="0" w:type="auto"/>
            <w:shd w:val="clear" w:color="auto" w:fill="FFFFFF"/>
            <w:tcMar>
              <w:top w:w="100" w:type="dxa"/>
              <w:left w:w="80" w:type="dxa"/>
              <w:bottom w:w="100" w:type="dxa"/>
              <w:right w:w="80" w:type="dxa"/>
            </w:tcMar>
            <w:vAlign w:val="center"/>
          </w:tcPr>
          <w:p w14:paraId="11598E8D" w14:textId="07A06A30" w:rsidR="00D04A31" w:rsidRPr="002501F2" w:rsidRDefault="00D04A31" w:rsidP="00D04A31">
            <w:pPr>
              <w:jc w:val="center"/>
              <w:rPr>
                <w:rFonts w:ascii="Times New Roman" w:hAnsi="Times New Roman"/>
                <w:b/>
                <w:sz w:val="22"/>
                <w:szCs w:val="22"/>
              </w:rPr>
            </w:pPr>
            <w:r w:rsidRPr="002501F2">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0E3D6048"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566"/>
        <w:gridCol w:w="691"/>
        <w:gridCol w:w="691"/>
        <w:gridCol w:w="635"/>
        <w:gridCol w:w="635"/>
        <w:gridCol w:w="69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F639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3F3B982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2E275F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00D02E32"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152333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466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7239174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61704D31"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1.959</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621F5B"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621F5B"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5. Ejercer el Rol de Relación con Entes externos de Control dando apoyo en el marco de las auditorías de los mismos,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621F5B" w:rsidRDefault="00621F5B" w:rsidP="00621F5B">
            <w:pPr>
              <w:jc w:val="left"/>
              <w:rPr>
                <w:rFonts w:ascii="Times New Roman" w:hAnsi="Times New Roman"/>
                <w:color w:val="000000"/>
                <w:sz w:val="20"/>
                <w:lang w:eastAsia="es-CO"/>
              </w:rPr>
            </w:pPr>
          </w:p>
        </w:tc>
      </w:tr>
      <w:tr w:rsidR="006F639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22BF959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386FEF0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787E10FC"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3B1F6D" w:rsidRPr="00136442">
              <w:rPr>
                <w:rFonts w:ascii="Times New Roman" w:hAnsi="Times New Roman"/>
                <w:color w:val="000000"/>
                <w:sz w:val="22"/>
                <w:szCs w:val="22"/>
                <w:lang w:eastAsia="es-CO"/>
              </w:rPr>
              <w:t>530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3D7773A7"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1.642</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587C64C2"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1A2181D5"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6.3</w:t>
            </w:r>
            <w:r w:rsidR="00136442">
              <w:rPr>
                <w:rFonts w:ascii="Times New Roman" w:hAnsi="Times New Roman"/>
                <w:color w:val="000000"/>
                <w:sz w:val="22"/>
                <w:szCs w:val="22"/>
                <w:lang w:eastAsia="es-CO"/>
              </w:rPr>
              <w:t>87</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9. Gestionar con las áreas de la Entidad los ajustes en la Guía de Trámites y Servicios, la actualización del Sistema Único de Trámites – SUIT,  y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F639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5F9F6F57"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6A210DF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A9BBA6A"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7</w:t>
            </w:r>
            <w:r w:rsidR="003B1F6D" w:rsidRPr="00136442">
              <w:rPr>
                <w:rFonts w:ascii="Times New Roman" w:hAnsi="Times New Roman"/>
                <w:color w:val="000000"/>
                <w:sz w:val="22"/>
                <w:szCs w:val="22"/>
                <w:lang w:eastAsia="es-CO"/>
              </w:rPr>
              <w:t>24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4535671F"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701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2624DA4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18BC61C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F639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19. Realizar las actividads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287435B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295D88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25DA8A85"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5</w:t>
            </w:r>
            <w:r w:rsidR="003B1F6D" w:rsidRPr="00136442">
              <w:rPr>
                <w:rFonts w:ascii="Times New Roman" w:hAnsi="Times New Roman"/>
                <w:color w:val="000000"/>
                <w:sz w:val="22"/>
                <w:szCs w:val="22"/>
                <w:lang w:eastAsia="es-CO"/>
              </w:rPr>
              <w:t>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2D8E68BD"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584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1040FD35"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0DFFB31D"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2.1</w:t>
            </w:r>
            <w:r w:rsidR="003B1F6D">
              <w:rPr>
                <w:rFonts w:ascii="Times New Roman" w:hAnsi="Times New Roman"/>
                <w:color w:val="000000"/>
                <w:sz w:val="22"/>
                <w:szCs w:val="22"/>
                <w:lang w:eastAsia="es-CO"/>
              </w:rPr>
              <w:t>07</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diulgación y fortalecimiento en el cumplimiento de las leyes y politicas de trasnparencia,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22 Apoyar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F639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F6395" w:rsidRPr="00621F5B" w:rsidRDefault="006F6395" w:rsidP="006F639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4AB05426" w:rsidR="006F6395" w:rsidRPr="00621F5B" w:rsidRDefault="006F6395" w:rsidP="006F6395">
            <w:pPr>
              <w:jc w:val="center"/>
              <w:rPr>
                <w:rFonts w:cs="Arial"/>
                <w:color w:val="000000"/>
                <w:sz w:val="20"/>
                <w:lang w:eastAsia="es-CO"/>
              </w:rPr>
            </w:pPr>
            <w:r w:rsidRPr="00121C6A">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3183CCE6" w:rsidR="006F6395" w:rsidRPr="002501F2" w:rsidRDefault="006F6395" w:rsidP="006F6395">
            <w:pPr>
              <w:jc w:val="center"/>
              <w:rPr>
                <w:rFonts w:cs="Arial"/>
                <w:color w:val="000000"/>
                <w:sz w:val="20"/>
                <w:lang w:eastAsia="es-CO"/>
              </w:rPr>
            </w:pPr>
            <w:r w:rsidRPr="002501F2">
              <w:rPr>
                <w:color w:val="000000"/>
                <w:sz w:val="22"/>
                <w:szCs w:val="22"/>
              </w:rPr>
              <w:t>2.196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42912C56" w:rsidR="006F6395" w:rsidRPr="002501F2" w:rsidRDefault="006F6395" w:rsidP="006F6395">
            <w:pPr>
              <w:jc w:val="center"/>
              <w:rPr>
                <w:rFonts w:cs="Arial"/>
                <w:color w:val="000000"/>
                <w:sz w:val="20"/>
                <w:lang w:eastAsia="es-CO"/>
              </w:rPr>
            </w:pPr>
            <w:r w:rsidRPr="002501F2">
              <w:rPr>
                <w:rFonts w:ascii="Times New Roman" w:hAnsi="Times New Roman"/>
                <w:b/>
                <w:bCs/>
                <w:color w:val="000000"/>
                <w:sz w:val="22"/>
                <w:szCs w:val="22"/>
              </w:rPr>
              <w:t>3.2</w:t>
            </w:r>
            <w:r w:rsidR="003B1F6D" w:rsidRPr="002501F2">
              <w:rPr>
                <w:rFonts w:ascii="Times New Roman" w:hAnsi="Times New Roman"/>
                <w:b/>
                <w:bCs/>
                <w:color w:val="000000"/>
                <w:sz w:val="22"/>
                <w:szCs w:val="22"/>
              </w:rPr>
              <w:t>51</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4D6C6AF1" w:rsidR="006F6395" w:rsidRPr="002501F2" w:rsidRDefault="006F6395" w:rsidP="006F6395">
            <w:pPr>
              <w:jc w:val="center"/>
              <w:rPr>
                <w:rFonts w:cs="Arial"/>
                <w:color w:val="000000"/>
                <w:sz w:val="20"/>
                <w:lang w:eastAsia="es-CO"/>
              </w:rPr>
            </w:pPr>
            <w:r w:rsidRPr="002501F2">
              <w:rPr>
                <w:rFonts w:ascii="Times New Roman" w:hAnsi="Times New Roman"/>
                <w:b/>
                <w:bCs/>
                <w:color w:val="000000"/>
                <w:sz w:val="22"/>
                <w:szCs w:val="22"/>
              </w:rPr>
              <w:t>3.393</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2A35EB68" w:rsidR="006F6395" w:rsidRPr="002501F2" w:rsidRDefault="006F6395" w:rsidP="006F6395">
            <w:pPr>
              <w:jc w:val="center"/>
              <w:rPr>
                <w:rFonts w:cs="Arial"/>
                <w:color w:val="000000"/>
                <w:sz w:val="20"/>
                <w:lang w:eastAsia="es-CO"/>
              </w:rPr>
            </w:pPr>
            <w:r w:rsidRPr="002501F2">
              <w:rPr>
                <w:color w:val="000000"/>
                <w:sz w:val="22"/>
                <w:szCs w:val="22"/>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087AFCF3"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33"/>
        <w:gridCol w:w="903"/>
        <w:gridCol w:w="903"/>
        <w:gridCol w:w="832"/>
        <w:gridCol w:w="832"/>
        <w:gridCol w:w="903"/>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395"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395" w:rsidRPr="0018003D" w:rsidRDefault="006F6395" w:rsidP="006F6395">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29E1" w:rsidR="006F6395" w:rsidRPr="00AF75DD" w:rsidRDefault="006F6395" w:rsidP="006F6395">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9CE1242" w:rsidR="006F6395" w:rsidRPr="00687A24" w:rsidRDefault="006F6395" w:rsidP="006F6395">
            <w:pPr>
              <w:keepLines/>
              <w:jc w:val="center"/>
              <w:rPr>
                <w:rFonts w:ascii="Times New Roman" w:hAnsi="Times New Roman"/>
                <w:sz w:val="22"/>
                <w:szCs w:val="22"/>
              </w:rPr>
            </w:pPr>
            <w:r w:rsidRPr="00F90DB2">
              <w:rPr>
                <w:color w:val="000000"/>
                <w:sz w:val="22"/>
                <w:szCs w:val="22"/>
              </w:rPr>
              <w:t>2.</w:t>
            </w:r>
            <w:r>
              <w:rPr>
                <w:color w:val="000000"/>
                <w:sz w:val="22"/>
                <w:szCs w:val="22"/>
              </w:rPr>
              <w:t>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6F876433" w:rsidR="006F6395" w:rsidRPr="002501F2" w:rsidRDefault="006F6395" w:rsidP="006F6395">
            <w:pPr>
              <w:keepLines/>
              <w:jc w:val="center"/>
              <w:rPr>
                <w:rFonts w:ascii="Times New Roman" w:hAnsi="Times New Roman"/>
                <w:sz w:val="22"/>
                <w:szCs w:val="22"/>
              </w:rPr>
            </w:pPr>
            <w:r w:rsidRPr="002501F2">
              <w:rPr>
                <w:rFonts w:ascii="Times New Roman" w:hAnsi="Times New Roman"/>
                <w:b/>
                <w:bCs/>
                <w:color w:val="000000"/>
                <w:sz w:val="22"/>
                <w:szCs w:val="22"/>
              </w:rPr>
              <w:t>3.2</w:t>
            </w:r>
            <w:r w:rsidR="00DA43C6" w:rsidRPr="002501F2">
              <w:rPr>
                <w:rFonts w:ascii="Times New Roman" w:hAnsi="Times New Roman"/>
                <w:b/>
                <w:bCs/>
                <w:color w:val="000000"/>
                <w:sz w:val="22"/>
                <w:szCs w:val="22"/>
              </w:rPr>
              <w:t>51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49E1583C" w:rsidR="006F6395" w:rsidRPr="002501F2" w:rsidRDefault="006F6395" w:rsidP="006F6395">
            <w:pPr>
              <w:keepLines/>
              <w:jc w:val="center"/>
              <w:rPr>
                <w:rFonts w:ascii="Times New Roman" w:hAnsi="Times New Roman"/>
                <w:sz w:val="22"/>
                <w:szCs w:val="22"/>
              </w:rPr>
            </w:pPr>
            <w:r w:rsidRPr="002501F2">
              <w:rPr>
                <w:rFonts w:ascii="Times New Roman" w:hAnsi="Times New Roman"/>
                <w:b/>
                <w:bCs/>
                <w:color w:val="000000"/>
                <w:sz w:val="22"/>
                <w:szCs w:val="22"/>
              </w:rPr>
              <w:t>3.393</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36188694" w:rsidR="006F6395" w:rsidRPr="002501F2" w:rsidRDefault="006F6395" w:rsidP="006F6395">
            <w:pPr>
              <w:keepLines/>
              <w:jc w:val="center"/>
              <w:rPr>
                <w:rFonts w:ascii="Times New Roman" w:hAnsi="Times New Roman"/>
                <w:sz w:val="22"/>
                <w:szCs w:val="22"/>
              </w:rPr>
            </w:pPr>
            <w:r w:rsidRPr="002501F2">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72EF055E"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r w:rsidR="006F6395"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6F6395" w:rsidRPr="0018003D" w:rsidRDefault="006F6395" w:rsidP="006F6395">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355211E1" w:rsidR="006F6395" w:rsidRPr="00F30AE5" w:rsidRDefault="006F6395" w:rsidP="006F639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03F26F16" w:rsidR="006F6395" w:rsidRPr="00687A24" w:rsidRDefault="006F6395" w:rsidP="006F639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719AE64E"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3.</w:t>
            </w:r>
            <w:r w:rsidR="00DA43C6">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682CEC25" w:rsidR="006F6395" w:rsidRPr="00687A24" w:rsidRDefault="006F6395" w:rsidP="006F6395">
            <w:pPr>
              <w:jc w:val="center"/>
              <w:rPr>
                <w:rFonts w:ascii="Times New Roman" w:hAnsi="Times New Roman"/>
                <w:b/>
                <w:bCs/>
                <w:sz w:val="22"/>
                <w:szCs w:val="22"/>
              </w:rPr>
            </w:pPr>
            <w:r>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7EBFA4F" w:rsidR="006F6395" w:rsidRPr="00687A24" w:rsidRDefault="006F6395" w:rsidP="006F6395">
            <w:pPr>
              <w:jc w:val="center"/>
              <w:rPr>
                <w:rFonts w:ascii="Times New Roman" w:hAnsi="Times New Roman"/>
                <w:b/>
                <w:bCs/>
                <w:sz w:val="22"/>
                <w:szCs w:val="22"/>
              </w:rPr>
            </w:pPr>
            <w:r w:rsidRPr="00F90DB2">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57C17618"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3765D508" w:rsidR="001969C3" w:rsidRDefault="006F6395" w:rsidP="001969C3">
            <w:pPr>
              <w:jc w:val="center"/>
              <w:rPr>
                <w:rFonts w:ascii="Times New Roman" w:hAnsi="Times New Roman"/>
                <w:sz w:val="22"/>
                <w:szCs w:val="22"/>
              </w:rPr>
            </w:pPr>
            <w:r>
              <w:rPr>
                <w:rFonts w:cs="Arial"/>
                <w:sz w:val="18"/>
                <w:szCs w:val="18"/>
                <w:lang w:eastAsia="es-CO"/>
              </w:rPr>
              <w:t>86</w:t>
            </w:r>
            <w:r w:rsidR="001969C3">
              <w:rPr>
                <w:rFonts w:cs="Arial"/>
                <w:sz w:val="18"/>
                <w:szCs w:val="18"/>
                <w:lang w:eastAsia="es-CO"/>
              </w:rPr>
              <w:t>,</w:t>
            </w:r>
            <w:r>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3B02" w14:textId="77777777" w:rsidR="003F31CE" w:rsidRDefault="003F31CE">
      <w:r>
        <w:separator/>
      </w:r>
    </w:p>
  </w:endnote>
  <w:endnote w:type="continuationSeparator" w:id="0">
    <w:p w14:paraId="4D14192C" w14:textId="77777777" w:rsidR="003F31CE" w:rsidRDefault="003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EC60" w14:textId="77777777" w:rsidR="003F31CE" w:rsidRDefault="003F31CE">
      <w:r>
        <w:separator/>
      </w:r>
    </w:p>
  </w:footnote>
  <w:footnote w:type="continuationSeparator" w:id="0">
    <w:p w14:paraId="538365C9" w14:textId="77777777" w:rsidR="003F31CE" w:rsidRDefault="003F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7D2964"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7D2964" w:rsidRDefault="007D2964"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D2964" w:rsidRDefault="007D2964" w:rsidP="005F55ED">
          <w:pPr>
            <w:pStyle w:val="Encabezado"/>
            <w:tabs>
              <w:tab w:val="left" w:pos="1275"/>
            </w:tabs>
            <w:ind w:left="420"/>
            <w:jc w:val="center"/>
            <w:rPr>
              <w:rFonts w:cs="Arial"/>
              <w:b/>
              <w:szCs w:val="18"/>
            </w:rPr>
          </w:pPr>
          <w:r>
            <w:rPr>
              <w:rFonts w:cs="Arial"/>
              <w:b/>
            </w:rPr>
            <w:t>DIRECCIONAMIENTO ESTRATÉGICO</w:t>
          </w:r>
        </w:p>
      </w:tc>
    </w:tr>
    <w:tr w:rsidR="007D2964"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D2964" w:rsidRDefault="007D296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D2964" w:rsidRDefault="007D2964" w:rsidP="005F55ED">
          <w:pPr>
            <w:pStyle w:val="Encabezado"/>
            <w:rPr>
              <w:rFonts w:cs="Arial"/>
              <w:b/>
              <w:szCs w:val="18"/>
            </w:rPr>
          </w:pPr>
          <w:r>
            <w:rPr>
              <w:szCs w:val="18"/>
            </w:rPr>
            <w:t>Formato: Documento de formulación proyecto de inversión</w:t>
          </w:r>
          <w:r>
            <w:rPr>
              <w:rFonts w:cs="Arial"/>
              <w:sz w:val="17"/>
              <w:szCs w:val="17"/>
            </w:rPr>
            <w:t> </w:t>
          </w:r>
        </w:p>
      </w:tc>
    </w:tr>
    <w:tr w:rsidR="007D2964"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D2964" w:rsidRDefault="007D296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D2964" w:rsidRDefault="007D296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D2964" w:rsidRDefault="007D2964" w:rsidP="001E375F">
          <w:pPr>
            <w:pStyle w:val="Encabezado"/>
            <w:rPr>
              <w:rFonts w:cs="Arial"/>
              <w:szCs w:val="18"/>
            </w:rPr>
          </w:pPr>
          <w:r>
            <w:rPr>
              <w:rFonts w:cs="Arial"/>
              <w:szCs w:val="18"/>
            </w:rPr>
            <w:t xml:space="preserve"> Versión: 12</w:t>
          </w:r>
        </w:p>
      </w:tc>
    </w:tr>
  </w:tbl>
  <w:p w14:paraId="467E09E7" w14:textId="77777777" w:rsidR="007D2964" w:rsidRDefault="007D2964" w:rsidP="005F55ED">
    <w:pPr>
      <w:pStyle w:val="Encabezado"/>
      <w:jc w:val="center"/>
      <w:rPr>
        <w:rFonts w:cs="Arial"/>
        <w:b/>
        <w:bCs/>
        <w:lang w:eastAsia="x-none"/>
      </w:rPr>
    </w:pPr>
  </w:p>
  <w:p w14:paraId="298E60FF" w14:textId="58534586" w:rsidR="007D2964" w:rsidRDefault="007D2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73614270">
    <w:abstractNumId w:val="8"/>
  </w:num>
  <w:num w:numId="2" w16cid:durableId="1297834985">
    <w:abstractNumId w:val="2"/>
  </w:num>
  <w:num w:numId="3" w16cid:durableId="2059890650">
    <w:abstractNumId w:val="31"/>
  </w:num>
  <w:num w:numId="4" w16cid:durableId="328826370">
    <w:abstractNumId w:val="32"/>
  </w:num>
  <w:num w:numId="5" w16cid:durableId="1360475873">
    <w:abstractNumId w:val="7"/>
  </w:num>
  <w:num w:numId="6" w16cid:durableId="292443137">
    <w:abstractNumId w:val="20"/>
  </w:num>
  <w:num w:numId="7" w16cid:durableId="974409573">
    <w:abstractNumId w:val="25"/>
  </w:num>
  <w:num w:numId="8" w16cid:durableId="150801597">
    <w:abstractNumId w:val="22"/>
  </w:num>
  <w:num w:numId="9" w16cid:durableId="1939481156">
    <w:abstractNumId w:val="11"/>
  </w:num>
  <w:num w:numId="10" w16cid:durableId="783308031">
    <w:abstractNumId w:val="18"/>
  </w:num>
  <w:num w:numId="11" w16cid:durableId="355542089">
    <w:abstractNumId w:val="16"/>
  </w:num>
  <w:num w:numId="12" w16cid:durableId="1087002217">
    <w:abstractNumId w:val="1"/>
  </w:num>
  <w:num w:numId="13" w16cid:durableId="152181881">
    <w:abstractNumId w:val="21"/>
  </w:num>
  <w:num w:numId="14" w16cid:durableId="1705709098">
    <w:abstractNumId w:val="29"/>
  </w:num>
  <w:num w:numId="15" w16cid:durableId="1765149784">
    <w:abstractNumId w:val="3"/>
  </w:num>
  <w:num w:numId="16" w16cid:durableId="1321009564">
    <w:abstractNumId w:val="23"/>
  </w:num>
  <w:num w:numId="17" w16cid:durableId="862284700">
    <w:abstractNumId w:val="33"/>
  </w:num>
  <w:num w:numId="18" w16cid:durableId="1930311527">
    <w:abstractNumId w:val="0"/>
  </w:num>
  <w:num w:numId="19" w16cid:durableId="1041057289">
    <w:abstractNumId w:val="5"/>
  </w:num>
  <w:num w:numId="20" w16cid:durableId="1502351515">
    <w:abstractNumId w:val="27"/>
  </w:num>
  <w:num w:numId="21" w16cid:durableId="985402480">
    <w:abstractNumId w:val="37"/>
  </w:num>
  <w:num w:numId="22" w16cid:durableId="1340304806">
    <w:abstractNumId w:val="34"/>
  </w:num>
  <w:num w:numId="23" w16cid:durableId="85348185">
    <w:abstractNumId w:val="24"/>
  </w:num>
  <w:num w:numId="24" w16cid:durableId="2117404867">
    <w:abstractNumId w:val="14"/>
  </w:num>
  <w:num w:numId="25" w16cid:durableId="325255206">
    <w:abstractNumId w:val="4"/>
  </w:num>
  <w:num w:numId="26" w16cid:durableId="1689718477">
    <w:abstractNumId w:val="36"/>
  </w:num>
  <w:num w:numId="27" w16cid:durableId="1338266504">
    <w:abstractNumId w:val="17"/>
  </w:num>
  <w:num w:numId="28" w16cid:durableId="1825195211">
    <w:abstractNumId w:val="15"/>
  </w:num>
  <w:num w:numId="29" w16cid:durableId="959143921">
    <w:abstractNumId w:val="26"/>
  </w:num>
  <w:num w:numId="30" w16cid:durableId="2127045618">
    <w:abstractNumId w:val="10"/>
  </w:num>
  <w:num w:numId="31" w16cid:durableId="4795649">
    <w:abstractNumId w:val="28"/>
  </w:num>
  <w:num w:numId="32" w16cid:durableId="1899976539">
    <w:abstractNumId w:val="35"/>
  </w:num>
  <w:num w:numId="33" w16cid:durableId="1066563946">
    <w:abstractNumId w:val="30"/>
  </w:num>
  <w:num w:numId="34" w16cid:durableId="1951206027">
    <w:abstractNumId w:val="6"/>
  </w:num>
  <w:num w:numId="35" w16cid:durableId="951936280">
    <w:abstractNumId w:val="9"/>
  </w:num>
  <w:num w:numId="36" w16cid:durableId="1240097022">
    <w:abstractNumId w:val="13"/>
  </w:num>
  <w:num w:numId="37" w16cid:durableId="919633313">
    <w:abstractNumId w:val="12"/>
  </w:num>
  <w:num w:numId="38" w16cid:durableId="191727738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6DA"/>
    <w:rsid w:val="00024CB4"/>
    <w:rsid w:val="00037834"/>
    <w:rsid w:val="00040B5A"/>
    <w:rsid w:val="00043CC4"/>
    <w:rsid w:val="0004425C"/>
    <w:rsid w:val="00051239"/>
    <w:rsid w:val="0005376C"/>
    <w:rsid w:val="0005552E"/>
    <w:rsid w:val="00056EB0"/>
    <w:rsid w:val="000575DC"/>
    <w:rsid w:val="000620D4"/>
    <w:rsid w:val="00066CE8"/>
    <w:rsid w:val="00070246"/>
    <w:rsid w:val="00090E40"/>
    <w:rsid w:val="00093A76"/>
    <w:rsid w:val="00095388"/>
    <w:rsid w:val="00095B0F"/>
    <w:rsid w:val="00097D23"/>
    <w:rsid w:val="000A3DB7"/>
    <w:rsid w:val="000A3DE9"/>
    <w:rsid w:val="000B6627"/>
    <w:rsid w:val="000B7819"/>
    <w:rsid w:val="000C0B03"/>
    <w:rsid w:val="000C3AC4"/>
    <w:rsid w:val="000C44BD"/>
    <w:rsid w:val="000C60CB"/>
    <w:rsid w:val="000D1B97"/>
    <w:rsid w:val="000E3188"/>
    <w:rsid w:val="000E5147"/>
    <w:rsid w:val="000E629A"/>
    <w:rsid w:val="000F0634"/>
    <w:rsid w:val="000F0687"/>
    <w:rsid w:val="000F7FEE"/>
    <w:rsid w:val="00100113"/>
    <w:rsid w:val="001002C6"/>
    <w:rsid w:val="001015E9"/>
    <w:rsid w:val="00104C6F"/>
    <w:rsid w:val="0010588B"/>
    <w:rsid w:val="001066A3"/>
    <w:rsid w:val="00110DF2"/>
    <w:rsid w:val="001151EB"/>
    <w:rsid w:val="001176FB"/>
    <w:rsid w:val="00136442"/>
    <w:rsid w:val="00141898"/>
    <w:rsid w:val="0014397C"/>
    <w:rsid w:val="001454A3"/>
    <w:rsid w:val="00151822"/>
    <w:rsid w:val="001536DD"/>
    <w:rsid w:val="0015408D"/>
    <w:rsid w:val="001555CF"/>
    <w:rsid w:val="001649ED"/>
    <w:rsid w:val="00165042"/>
    <w:rsid w:val="0017390D"/>
    <w:rsid w:val="00173A58"/>
    <w:rsid w:val="00173C07"/>
    <w:rsid w:val="0018003D"/>
    <w:rsid w:val="00183739"/>
    <w:rsid w:val="001969C3"/>
    <w:rsid w:val="001A2A67"/>
    <w:rsid w:val="001A7278"/>
    <w:rsid w:val="001B1345"/>
    <w:rsid w:val="001B3B07"/>
    <w:rsid w:val="001B556E"/>
    <w:rsid w:val="001B7D83"/>
    <w:rsid w:val="001C45A5"/>
    <w:rsid w:val="001C5CC2"/>
    <w:rsid w:val="001D238A"/>
    <w:rsid w:val="001D51B8"/>
    <w:rsid w:val="001D57EA"/>
    <w:rsid w:val="001E228C"/>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501F2"/>
    <w:rsid w:val="00250768"/>
    <w:rsid w:val="002638A4"/>
    <w:rsid w:val="00264E98"/>
    <w:rsid w:val="00277487"/>
    <w:rsid w:val="0028043F"/>
    <w:rsid w:val="00284060"/>
    <w:rsid w:val="002876A2"/>
    <w:rsid w:val="00292C1E"/>
    <w:rsid w:val="00293AAF"/>
    <w:rsid w:val="00294642"/>
    <w:rsid w:val="002A0BAF"/>
    <w:rsid w:val="002A4176"/>
    <w:rsid w:val="002A4B66"/>
    <w:rsid w:val="002B1905"/>
    <w:rsid w:val="002B45E8"/>
    <w:rsid w:val="002C18EB"/>
    <w:rsid w:val="002C6F7D"/>
    <w:rsid w:val="002D18CD"/>
    <w:rsid w:val="002F2327"/>
    <w:rsid w:val="002F2C98"/>
    <w:rsid w:val="00301C3F"/>
    <w:rsid w:val="00306122"/>
    <w:rsid w:val="00307B95"/>
    <w:rsid w:val="00307EF5"/>
    <w:rsid w:val="0032563B"/>
    <w:rsid w:val="00332598"/>
    <w:rsid w:val="00336F25"/>
    <w:rsid w:val="00352F6F"/>
    <w:rsid w:val="00360525"/>
    <w:rsid w:val="00361231"/>
    <w:rsid w:val="00373F7E"/>
    <w:rsid w:val="0038347A"/>
    <w:rsid w:val="00385A93"/>
    <w:rsid w:val="00392D1D"/>
    <w:rsid w:val="00395809"/>
    <w:rsid w:val="003A06E3"/>
    <w:rsid w:val="003A40D0"/>
    <w:rsid w:val="003A7AA3"/>
    <w:rsid w:val="003B1BD0"/>
    <w:rsid w:val="003B1F6D"/>
    <w:rsid w:val="003B2637"/>
    <w:rsid w:val="003B309F"/>
    <w:rsid w:val="003B33D1"/>
    <w:rsid w:val="003C15E2"/>
    <w:rsid w:val="003C3E8F"/>
    <w:rsid w:val="003C5CA4"/>
    <w:rsid w:val="003D08B1"/>
    <w:rsid w:val="003E0E0B"/>
    <w:rsid w:val="003E1C6E"/>
    <w:rsid w:val="003E2495"/>
    <w:rsid w:val="003E62F4"/>
    <w:rsid w:val="003F1979"/>
    <w:rsid w:val="003F31CE"/>
    <w:rsid w:val="003F617C"/>
    <w:rsid w:val="0040459C"/>
    <w:rsid w:val="00414A24"/>
    <w:rsid w:val="00414A93"/>
    <w:rsid w:val="00424A57"/>
    <w:rsid w:val="004307B2"/>
    <w:rsid w:val="00431338"/>
    <w:rsid w:val="0043476B"/>
    <w:rsid w:val="004407BB"/>
    <w:rsid w:val="0044153B"/>
    <w:rsid w:val="0044447C"/>
    <w:rsid w:val="00447190"/>
    <w:rsid w:val="00453D5B"/>
    <w:rsid w:val="00456FBC"/>
    <w:rsid w:val="00460E88"/>
    <w:rsid w:val="00461E0B"/>
    <w:rsid w:val="00466E58"/>
    <w:rsid w:val="00470F80"/>
    <w:rsid w:val="0048183E"/>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3C28"/>
    <w:rsid w:val="004E6C8F"/>
    <w:rsid w:val="004E7512"/>
    <w:rsid w:val="004E7F28"/>
    <w:rsid w:val="004F58CE"/>
    <w:rsid w:val="004F6F2B"/>
    <w:rsid w:val="004F782C"/>
    <w:rsid w:val="004F7B74"/>
    <w:rsid w:val="00500A24"/>
    <w:rsid w:val="0050327C"/>
    <w:rsid w:val="005104CE"/>
    <w:rsid w:val="00520CBC"/>
    <w:rsid w:val="00530070"/>
    <w:rsid w:val="00534F44"/>
    <w:rsid w:val="005367A7"/>
    <w:rsid w:val="005376F1"/>
    <w:rsid w:val="0054059C"/>
    <w:rsid w:val="00556D09"/>
    <w:rsid w:val="00557070"/>
    <w:rsid w:val="005611DD"/>
    <w:rsid w:val="00562A18"/>
    <w:rsid w:val="0056466E"/>
    <w:rsid w:val="005763E1"/>
    <w:rsid w:val="0059472E"/>
    <w:rsid w:val="00595F78"/>
    <w:rsid w:val="005A0362"/>
    <w:rsid w:val="005B1982"/>
    <w:rsid w:val="005B46F9"/>
    <w:rsid w:val="005C170C"/>
    <w:rsid w:val="005C2B22"/>
    <w:rsid w:val="005D066C"/>
    <w:rsid w:val="005D24FC"/>
    <w:rsid w:val="005D3F84"/>
    <w:rsid w:val="005D5A09"/>
    <w:rsid w:val="005D6C41"/>
    <w:rsid w:val="005E5C1F"/>
    <w:rsid w:val="005E7CF1"/>
    <w:rsid w:val="005F158C"/>
    <w:rsid w:val="005F4235"/>
    <w:rsid w:val="005F55ED"/>
    <w:rsid w:val="005F5FA5"/>
    <w:rsid w:val="006010FE"/>
    <w:rsid w:val="00604BAE"/>
    <w:rsid w:val="00606406"/>
    <w:rsid w:val="00606C5D"/>
    <w:rsid w:val="0061250D"/>
    <w:rsid w:val="0062153B"/>
    <w:rsid w:val="00621F5B"/>
    <w:rsid w:val="00634DFE"/>
    <w:rsid w:val="0063634E"/>
    <w:rsid w:val="0063661A"/>
    <w:rsid w:val="00651112"/>
    <w:rsid w:val="006516EB"/>
    <w:rsid w:val="00653522"/>
    <w:rsid w:val="00657410"/>
    <w:rsid w:val="0066192B"/>
    <w:rsid w:val="0067462D"/>
    <w:rsid w:val="0067533F"/>
    <w:rsid w:val="00684E84"/>
    <w:rsid w:val="00687A24"/>
    <w:rsid w:val="0069026A"/>
    <w:rsid w:val="00691391"/>
    <w:rsid w:val="0069429D"/>
    <w:rsid w:val="006A02E4"/>
    <w:rsid w:val="006A3085"/>
    <w:rsid w:val="006A4567"/>
    <w:rsid w:val="006A5A44"/>
    <w:rsid w:val="006B1379"/>
    <w:rsid w:val="006B6DAE"/>
    <w:rsid w:val="006C25F1"/>
    <w:rsid w:val="006C44D3"/>
    <w:rsid w:val="006D2641"/>
    <w:rsid w:val="006E0E5C"/>
    <w:rsid w:val="006E34E1"/>
    <w:rsid w:val="006E46E7"/>
    <w:rsid w:val="006F0432"/>
    <w:rsid w:val="006F3554"/>
    <w:rsid w:val="006F584E"/>
    <w:rsid w:val="006F5879"/>
    <w:rsid w:val="006F6395"/>
    <w:rsid w:val="007021B0"/>
    <w:rsid w:val="00702CA6"/>
    <w:rsid w:val="00705333"/>
    <w:rsid w:val="00707E47"/>
    <w:rsid w:val="0071369E"/>
    <w:rsid w:val="007258F0"/>
    <w:rsid w:val="0072612F"/>
    <w:rsid w:val="007277CF"/>
    <w:rsid w:val="00732759"/>
    <w:rsid w:val="00733382"/>
    <w:rsid w:val="007424E9"/>
    <w:rsid w:val="00747FA3"/>
    <w:rsid w:val="007664AD"/>
    <w:rsid w:val="00772710"/>
    <w:rsid w:val="00772F24"/>
    <w:rsid w:val="00772F96"/>
    <w:rsid w:val="007741CA"/>
    <w:rsid w:val="00775035"/>
    <w:rsid w:val="007754CB"/>
    <w:rsid w:val="0078345A"/>
    <w:rsid w:val="00783783"/>
    <w:rsid w:val="00785606"/>
    <w:rsid w:val="0079284B"/>
    <w:rsid w:val="00796593"/>
    <w:rsid w:val="00796ECC"/>
    <w:rsid w:val="007A0CEC"/>
    <w:rsid w:val="007A16C4"/>
    <w:rsid w:val="007A5C9C"/>
    <w:rsid w:val="007C5392"/>
    <w:rsid w:val="007C58F0"/>
    <w:rsid w:val="007C5A15"/>
    <w:rsid w:val="007D2964"/>
    <w:rsid w:val="007D5967"/>
    <w:rsid w:val="007E11DE"/>
    <w:rsid w:val="007E49D1"/>
    <w:rsid w:val="007E65F5"/>
    <w:rsid w:val="007E7C89"/>
    <w:rsid w:val="007F16A5"/>
    <w:rsid w:val="007F1AE4"/>
    <w:rsid w:val="007F730D"/>
    <w:rsid w:val="008014D5"/>
    <w:rsid w:val="008025F3"/>
    <w:rsid w:val="00810FA2"/>
    <w:rsid w:val="00814B39"/>
    <w:rsid w:val="0081630B"/>
    <w:rsid w:val="00822167"/>
    <w:rsid w:val="008222F9"/>
    <w:rsid w:val="00823F67"/>
    <w:rsid w:val="008275A2"/>
    <w:rsid w:val="008364BF"/>
    <w:rsid w:val="00837092"/>
    <w:rsid w:val="008401CD"/>
    <w:rsid w:val="008420BE"/>
    <w:rsid w:val="00842303"/>
    <w:rsid w:val="0084665E"/>
    <w:rsid w:val="00857ABE"/>
    <w:rsid w:val="00864088"/>
    <w:rsid w:val="00866943"/>
    <w:rsid w:val="0087583A"/>
    <w:rsid w:val="00890055"/>
    <w:rsid w:val="008A1BF0"/>
    <w:rsid w:val="008B0FBB"/>
    <w:rsid w:val="008B2CDD"/>
    <w:rsid w:val="008B388B"/>
    <w:rsid w:val="008B460E"/>
    <w:rsid w:val="008B4EEF"/>
    <w:rsid w:val="008B6895"/>
    <w:rsid w:val="008B7AB7"/>
    <w:rsid w:val="008B7F4D"/>
    <w:rsid w:val="008C0495"/>
    <w:rsid w:val="008C3800"/>
    <w:rsid w:val="008C5CDA"/>
    <w:rsid w:val="008D0E0D"/>
    <w:rsid w:val="008D10FE"/>
    <w:rsid w:val="008D2EC8"/>
    <w:rsid w:val="008D3C3E"/>
    <w:rsid w:val="008E7044"/>
    <w:rsid w:val="008F003E"/>
    <w:rsid w:val="008F2263"/>
    <w:rsid w:val="008F5CB6"/>
    <w:rsid w:val="00903CF8"/>
    <w:rsid w:val="00904FDD"/>
    <w:rsid w:val="009059EA"/>
    <w:rsid w:val="0090637A"/>
    <w:rsid w:val="00912B7A"/>
    <w:rsid w:val="00912CA1"/>
    <w:rsid w:val="00916161"/>
    <w:rsid w:val="009423FB"/>
    <w:rsid w:val="009449C1"/>
    <w:rsid w:val="00946941"/>
    <w:rsid w:val="00947944"/>
    <w:rsid w:val="009528BB"/>
    <w:rsid w:val="00963A78"/>
    <w:rsid w:val="00985354"/>
    <w:rsid w:val="0098733A"/>
    <w:rsid w:val="00995987"/>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1F"/>
    <w:rsid w:val="00A27247"/>
    <w:rsid w:val="00A329FA"/>
    <w:rsid w:val="00A33FD5"/>
    <w:rsid w:val="00A3485C"/>
    <w:rsid w:val="00A375ED"/>
    <w:rsid w:val="00A56648"/>
    <w:rsid w:val="00A600EF"/>
    <w:rsid w:val="00A63A29"/>
    <w:rsid w:val="00A66EA2"/>
    <w:rsid w:val="00A67BBE"/>
    <w:rsid w:val="00A8162D"/>
    <w:rsid w:val="00A910D6"/>
    <w:rsid w:val="00AA1EC8"/>
    <w:rsid w:val="00AA281E"/>
    <w:rsid w:val="00AB2835"/>
    <w:rsid w:val="00AB3EB9"/>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4CA0"/>
    <w:rsid w:val="00B662F1"/>
    <w:rsid w:val="00B714F0"/>
    <w:rsid w:val="00B71B75"/>
    <w:rsid w:val="00B76187"/>
    <w:rsid w:val="00B77C6C"/>
    <w:rsid w:val="00B863C6"/>
    <w:rsid w:val="00B87A8C"/>
    <w:rsid w:val="00B976A7"/>
    <w:rsid w:val="00BA011A"/>
    <w:rsid w:val="00BA073E"/>
    <w:rsid w:val="00BA6900"/>
    <w:rsid w:val="00BA7CB0"/>
    <w:rsid w:val="00BB0469"/>
    <w:rsid w:val="00BB27DD"/>
    <w:rsid w:val="00BB4DAF"/>
    <w:rsid w:val="00BC1FA3"/>
    <w:rsid w:val="00BC333D"/>
    <w:rsid w:val="00BC3570"/>
    <w:rsid w:val="00BC484D"/>
    <w:rsid w:val="00BC5DE2"/>
    <w:rsid w:val="00BC6C49"/>
    <w:rsid w:val="00BD1726"/>
    <w:rsid w:val="00BD22EB"/>
    <w:rsid w:val="00BD3379"/>
    <w:rsid w:val="00BD3F42"/>
    <w:rsid w:val="00BD59EB"/>
    <w:rsid w:val="00BE0952"/>
    <w:rsid w:val="00BE1523"/>
    <w:rsid w:val="00BE2FA3"/>
    <w:rsid w:val="00BE4980"/>
    <w:rsid w:val="00BF4D78"/>
    <w:rsid w:val="00BF57BD"/>
    <w:rsid w:val="00C05A2D"/>
    <w:rsid w:val="00C063D1"/>
    <w:rsid w:val="00C107A9"/>
    <w:rsid w:val="00C110D4"/>
    <w:rsid w:val="00C16F97"/>
    <w:rsid w:val="00C229FB"/>
    <w:rsid w:val="00C27857"/>
    <w:rsid w:val="00C27C77"/>
    <w:rsid w:val="00C309BD"/>
    <w:rsid w:val="00C3251C"/>
    <w:rsid w:val="00C32585"/>
    <w:rsid w:val="00C405D9"/>
    <w:rsid w:val="00C41EB5"/>
    <w:rsid w:val="00C434CF"/>
    <w:rsid w:val="00C43E7A"/>
    <w:rsid w:val="00C5274A"/>
    <w:rsid w:val="00C56C9B"/>
    <w:rsid w:val="00C72CE2"/>
    <w:rsid w:val="00C73D7A"/>
    <w:rsid w:val="00C74419"/>
    <w:rsid w:val="00C75FD9"/>
    <w:rsid w:val="00C76074"/>
    <w:rsid w:val="00C80DA1"/>
    <w:rsid w:val="00C83283"/>
    <w:rsid w:val="00C91FD0"/>
    <w:rsid w:val="00C92F34"/>
    <w:rsid w:val="00C9435D"/>
    <w:rsid w:val="00CA1EBC"/>
    <w:rsid w:val="00CA2D73"/>
    <w:rsid w:val="00CB28BA"/>
    <w:rsid w:val="00CB43F8"/>
    <w:rsid w:val="00CB7CFA"/>
    <w:rsid w:val="00CC02F9"/>
    <w:rsid w:val="00CC2CCE"/>
    <w:rsid w:val="00CD1760"/>
    <w:rsid w:val="00CE1438"/>
    <w:rsid w:val="00CE1DF9"/>
    <w:rsid w:val="00CE3C62"/>
    <w:rsid w:val="00CE5BF8"/>
    <w:rsid w:val="00D02E34"/>
    <w:rsid w:val="00D035D2"/>
    <w:rsid w:val="00D03E71"/>
    <w:rsid w:val="00D04A31"/>
    <w:rsid w:val="00D05069"/>
    <w:rsid w:val="00D05610"/>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A20"/>
    <w:rsid w:val="00D64CDB"/>
    <w:rsid w:val="00D675E2"/>
    <w:rsid w:val="00D7611D"/>
    <w:rsid w:val="00D8030E"/>
    <w:rsid w:val="00D8054B"/>
    <w:rsid w:val="00D82C17"/>
    <w:rsid w:val="00D830D5"/>
    <w:rsid w:val="00D9798D"/>
    <w:rsid w:val="00DA43C6"/>
    <w:rsid w:val="00DA6685"/>
    <w:rsid w:val="00DC79ED"/>
    <w:rsid w:val="00DD1A14"/>
    <w:rsid w:val="00DD7902"/>
    <w:rsid w:val="00DD7AA3"/>
    <w:rsid w:val="00DF6743"/>
    <w:rsid w:val="00DF7EA3"/>
    <w:rsid w:val="00E05C91"/>
    <w:rsid w:val="00E07DC6"/>
    <w:rsid w:val="00E10059"/>
    <w:rsid w:val="00E150DC"/>
    <w:rsid w:val="00E15CAD"/>
    <w:rsid w:val="00E17D14"/>
    <w:rsid w:val="00E20900"/>
    <w:rsid w:val="00E22344"/>
    <w:rsid w:val="00E2412F"/>
    <w:rsid w:val="00E256BA"/>
    <w:rsid w:val="00E25795"/>
    <w:rsid w:val="00E30197"/>
    <w:rsid w:val="00E3184A"/>
    <w:rsid w:val="00E4138F"/>
    <w:rsid w:val="00E43451"/>
    <w:rsid w:val="00E441B1"/>
    <w:rsid w:val="00E510AC"/>
    <w:rsid w:val="00E51FB0"/>
    <w:rsid w:val="00E574A8"/>
    <w:rsid w:val="00E576F9"/>
    <w:rsid w:val="00E744AC"/>
    <w:rsid w:val="00E765F8"/>
    <w:rsid w:val="00E85F49"/>
    <w:rsid w:val="00E8661C"/>
    <w:rsid w:val="00E90CF6"/>
    <w:rsid w:val="00E91B20"/>
    <w:rsid w:val="00E938FB"/>
    <w:rsid w:val="00EA362C"/>
    <w:rsid w:val="00EA36E9"/>
    <w:rsid w:val="00EA4F6A"/>
    <w:rsid w:val="00EB6AA1"/>
    <w:rsid w:val="00EB7921"/>
    <w:rsid w:val="00EC0BBE"/>
    <w:rsid w:val="00EC0E09"/>
    <w:rsid w:val="00EC5A9E"/>
    <w:rsid w:val="00EE0C30"/>
    <w:rsid w:val="00EE2EFF"/>
    <w:rsid w:val="00EE3FFC"/>
    <w:rsid w:val="00EE5216"/>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BD447CF5-C719-4AE2-BE12-62FC05A8F6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92</Pages>
  <Words>26514</Words>
  <Characters>145831</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5</cp:revision>
  <dcterms:created xsi:type="dcterms:W3CDTF">2023-06-11T03:52:00Z</dcterms:created>
  <dcterms:modified xsi:type="dcterms:W3CDTF">2023-06-15T11:51:00Z</dcterms:modified>
</cp:coreProperties>
</file>