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C70405" w:rsidRDefault="007623B0" w:rsidP="005C1FB6">
      <w:pPr>
        <w:pStyle w:val="Sinespaciado"/>
        <w:rPr>
          <w:sz w:val="22"/>
          <w:szCs w:val="22"/>
        </w:rPr>
      </w:pPr>
      <w:r w:rsidRPr="00C70405">
        <w:t xml:space="preserve"> </w:t>
      </w:r>
      <w:r w:rsidR="003D3A99" w:rsidRPr="00C70405">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63E0071E"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 xml:space="preserve">Desarrollo y fortalecimiento institucional </w:t>
      </w:r>
    </w:p>
    <w:p w14:paraId="00000012" w14:textId="1F2C830F"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8C34C8">
        <w:rPr>
          <w:rFonts w:ascii="Times New Roman" w:hAnsi="Times New Roman"/>
          <w:sz w:val="22"/>
          <w:szCs w:val="22"/>
        </w:rPr>
        <w:t>1</w:t>
      </w:r>
      <w:r w:rsidR="00422F3C">
        <w:rPr>
          <w:rFonts w:ascii="Times New Roman" w:hAnsi="Times New Roman"/>
          <w:sz w:val="22"/>
          <w:szCs w:val="22"/>
        </w:rPr>
        <w:t>4</w:t>
      </w:r>
      <w:r w:rsidR="005E2781" w:rsidRPr="00C70405">
        <w:rPr>
          <w:rFonts w:ascii="Times New Roman" w:hAnsi="Times New Roman"/>
          <w:sz w:val="22"/>
          <w:szCs w:val="22"/>
        </w:rPr>
        <w:t xml:space="preserve"> </w:t>
      </w:r>
      <w:proofErr w:type="gramStart"/>
      <w:r w:rsidR="00422F3C">
        <w:rPr>
          <w:rFonts w:ascii="Times New Roman" w:hAnsi="Times New Roman"/>
          <w:sz w:val="22"/>
          <w:szCs w:val="22"/>
        </w:rPr>
        <w:t>Fecha</w:t>
      </w:r>
      <w:proofErr w:type="gramEnd"/>
      <w:r w:rsidR="00422F3C">
        <w:rPr>
          <w:rFonts w:ascii="Times New Roman" w:hAnsi="Times New Roman"/>
          <w:sz w:val="22"/>
          <w:szCs w:val="22"/>
        </w:rPr>
        <w:t>:</w:t>
      </w:r>
      <w:r w:rsidR="008C34C8">
        <w:rPr>
          <w:rFonts w:ascii="Times New Roman" w:hAnsi="Times New Roman"/>
          <w:sz w:val="22"/>
          <w:szCs w:val="22"/>
        </w:rPr>
        <w:t>31</w:t>
      </w:r>
      <w:r w:rsidR="005E2781" w:rsidRPr="00C70405">
        <w:rPr>
          <w:rFonts w:ascii="Times New Roman" w:hAnsi="Times New Roman"/>
          <w:sz w:val="22"/>
          <w:szCs w:val="22"/>
        </w:rPr>
        <w:t>/</w:t>
      </w:r>
      <w:r w:rsidR="00422F3C">
        <w:rPr>
          <w:rFonts w:ascii="Times New Roman" w:hAnsi="Times New Roman"/>
          <w:sz w:val="22"/>
          <w:szCs w:val="22"/>
        </w:rPr>
        <w:t>12</w:t>
      </w:r>
      <w:r w:rsidR="004161AA" w:rsidRPr="00C70405">
        <w:rPr>
          <w:rFonts w:ascii="Times New Roman" w:hAnsi="Times New Roman"/>
          <w:sz w:val="22"/>
          <w:szCs w:val="22"/>
        </w:rPr>
        <w:t>/</w:t>
      </w:r>
      <w:r w:rsidR="005E2781" w:rsidRPr="00C70405">
        <w:rPr>
          <w:rFonts w:ascii="Times New Roman" w:hAnsi="Times New Roman"/>
          <w:sz w:val="22"/>
          <w:szCs w:val="22"/>
        </w:rPr>
        <w:t>202</w:t>
      </w:r>
      <w:r w:rsidR="00E26519" w:rsidRPr="00C70405">
        <w:rPr>
          <w:rFonts w:ascii="Times New Roman" w:hAnsi="Times New Roman"/>
          <w:sz w:val="22"/>
          <w:szCs w:val="22"/>
        </w:rPr>
        <w:t>2</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ODS </w:t>
            </w:r>
            <w:proofErr w:type="gramStart"/>
            <w:r w:rsidRPr="00C70405">
              <w:rPr>
                <w:rFonts w:ascii="Times New Roman" w:hAnsi="Times New Roman"/>
                <w:sz w:val="18"/>
                <w:szCs w:val="18"/>
              </w:rPr>
              <w:t>17  Alianza</w:t>
            </w:r>
            <w:proofErr w:type="gramEnd"/>
            <w:r w:rsidRPr="00C70405">
              <w:rPr>
                <w:rFonts w:ascii="Times New Roman" w:hAnsi="Times New Roman"/>
                <w:sz w:val="18"/>
                <w:szCs w:val="18"/>
              </w:rPr>
              <w:t xml:space="preserve">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C70405">
        <w:rPr>
          <w:rFonts w:ascii="Times New Roman" w:hAnsi="Times New Roman"/>
          <w:sz w:val="22"/>
          <w:szCs w:val="22"/>
        </w:rPr>
        <w:t>en relación a</w:t>
      </w:r>
      <w:proofErr w:type="gramEnd"/>
      <w:r w:rsidR="00FE22D1" w:rsidRPr="00C70405">
        <w:rPr>
          <w:rFonts w:ascii="Times New Roman" w:hAnsi="Times New Roman"/>
          <w:sz w:val="22"/>
          <w:szCs w:val="22"/>
        </w:rPr>
        <w:t xml:space="preserve">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653E3BD0"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sector privado y la academia. Así mismo no se dispone de recursos asignados específicamente para incentivar la invest</w:t>
      </w:r>
      <w:r w:rsidR="008F062B" w:rsidRPr="00C70405">
        <w:rPr>
          <w:rFonts w:ascii="Times New Roman" w:hAnsi="Times New Roman"/>
          <w:sz w:val="22"/>
          <w:szCs w:val="22"/>
        </w:rPr>
        <w:t>igación ambiental</w:t>
      </w:r>
      <w:r w:rsidR="001A3C4D" w:rsidRPr="00C70405">
        <w:rPr>
          <w:rFonts w:ascii="Times New Roman" w:hAnsi="Times New Roman"/>
          <w:sz w:val="22"/>
          <w:szCs w:val="22"/>
        </w:rPr>
        <w:t>.</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Pr="00C70405"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 xml:space="preserve">en relación </w:t>
            </w:r>
            <w:r w:rsidR="007623B0" w:rsidRPr="00C70405">
              <w:rPr>
                <w:rFonts w:ascii="Times New Roman" w:hAnsi="Times New Roman"/>
                <w:color w:val="0D0D0D" w:themeColor="text1" w:themeTint="F2"/>
                <w:sz w:val="18"/>
                <w:szCs w:val="18"/>
              </w:rPr>
              <w:t>a</w:t>
            </w:r>
            <w:proofErr w:type="gramEnd"/>
            <w:r w:rsidR="007623B0" w:rsidRPr="00C70405">
              <w:rPr>
                <w:rFonts w:ascii="Times New Roman" w:hAnsi="Times New Roman"/>
                <w:color w:val="0D0D0D" w:themeColor="text1" w:themeTint="F2"/>
                <w:sz w:val="18"/>
                <w:szCs w:val="18"/>
              </w:rPr>
              <w:t xml:space="preserve">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 xml:space="preserve">En este sentido, la relación de los actores se evidencia en la </w:t>
      </w:r>
      <w:proofErr w:type="gramStart"/>
      <w:r w:rsidRPr="00C70405">
        <w:rPr>
          <w:rFonts w:ascii="Times New Roman" w:hAnsi="Times New Roman"/>
          <w:sz w:val="22"/>
          <w:szCs w:val="22"/>
        </w:rPr>
        <w:t>p</w:t>
      </w:r>
      <w:r w:rsidR="0031217F" w:rsidRPr="00C70405">
        <w:rPr>
          <w:rFonts w:ascii="Times New Roman" w:hAnsi="Times New Roman"/>
          <w:sz w:val="22"/>
          <w:szCs w:val="22"/>
        </w:rPr>
        <w:t>articipa</w:t>
      </w:r>
      <w:r w:rsidRPr="00C70405">
        <w:rPr>
          <w:rFonts w:ascii="Times New Roman" w:hAnsi="Times New Roman"/>
          <w:sz w:val="22"/>
          <w:szCs w:val="22"/>
        </w:rPr>
        <w:t>ción activa</w:t>
      </w:r>
      <w:proofErr w:type="gramEnd"/>
      <w:r w:rsidRPr="00C70405">
        <w:rPr>
          <w:rFonts w:ascii="Times New Roman" w:hAnsi="Times New Roman"/>
          <w:sz w:val="22"/>
          <w:szCs w:val="22"/>
        </w:rPr>
        <w:t xml:space="preserve">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w:t>
            </w:r>
            <w:proofErr w:type="gramStart"/>
            <w:r w:rsidR="00C607F9" w:rsidRPr="00C70405">
              <w:rPr>
                <w:rFonts w:ascii="Times New Roman" w:hAnsi="Times New Roman"/>
                <w:sz w:val="18"/>
                <w:szCs w:val="18"/>
              </w:rPr>
              <w:t xml:space="preserve">priorizados </w:t>
            </w:r>
            <w:r w:rsidRPr="00C70405">
              <w:rPr>
                <w:rFonts w:ascii="Times New Roman" w:hAnsi="Times New Roman"/>
                <w:sz w:val="18"/>
                <w:szCs w:val="18"/>
              </w:rPr>
              <w:t xml:space="preserve"> de</w:t>
            </w:r>
            <w:proofErr w:type="gramEnd"/>
            <w:r w:rsidRPr="00C70405">
              <w:rPr>
                <w:rFonts w:ascii="Times New Roman" w:hAnsi="Times New Roman"/>
                <w:sz w:val="18"/>
                <w:szCs w:val="18"/>
              </w:rPr>
              <w:t xml:space="preserv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 xml:space="preserve">Porcentaje de </w:t>
            </w:r>
            <w:proofErr w:type="gramStart"/>
            <w:r w:rsidRPr="00C70405">
              <w:rPr>
                <w:rFonts w:ascii="Times New Roman" w:hAnsi="Times New Roman"/>
                <w:color w:val="000000"/>
                <w:sz w:val="18"/>
                <w:szCs w:val="18"/>
              </w:rPr>
              <w:t>fortalecimiento  de</w:t>
            </w:r>
            <w:proofErr w:type="gramEnd"/>
            <w:r w:rsidRPr="00C70405">
              <w:rPr>
                <w:rFonts w:ascii="Times New Roman" w:hAnsi="Times New Roman"/>
                <w:color w:val="000000"/>
                <w:sz w:val="18"/>
                <w:szCs w:val="18"/>
              </w:rPr>
              <w:t xml:space="preserv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proofErr w:type="gramStart"/>
      <w:r w:rsidR="001A3C4D" w:rsidRPr="00C70405">
        <w:t>Meta plan</w:t>
      </w:r>
      <w:proofErr w:type="gramEnd"/>
      <w:r w:rsidR="001A3C4D" w:rsidRPr="00C70405">
        <w:t xml:space="preserve">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 xml:space="preserve">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 xml:space="preserve">De igual manera, a fin de garantizar una articulación efectiva de las instancias de coordinación distritales y regionales, se debe también articular los componentes de investigación ambiental, los instrumentos económicos ambientales, los </w:t>
      </w:r>
      <w:proofErr w:type="gramStart"/>
      <w:r w:rsidRPr="00C70405">
        <w:rPr>
          <w:rFonts w:ascii="Times New Roman" w:hAnsi="Times New Roman"/>
          <w:sz w:val="22"/>
          <w:szCs w:val="22"/>
        </w:rPr>
        <w:t>asuntos regionales y la visión regional</w:t>
      </w:r>
      <w:proofErr w:type="gramEnd"/>
      <w:r w:rsidRPr="00C70405">
        <w:rPr>
          <w:rFonts w:ascii="Times New Roman" w:hAnsi="Times New Roman"/>
          <w:sz w:val="22"/>
          <w:szCs w:val="22"/>
        </w:rPr>
        <w:t xml:space="preserve">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C70405" w:rsidRDefault="001A3C4D" w:rsidP="00CD6ABB">
            <w:pPr>
              <w:jc w:val="center"/>
              <w:rPr>
                <w:rFonts w:ascii="Times New Roman" w:hAnsi="Times New Roman"/>
                <w:b/>
                <w:color w:val="FFFFFF"/>
                <w:sz w:val="18"/>
                <w:szCs w:val="18"/>
              </w:rPr>
            </w:pPr>
            <w:proofErr w:type="gramStart"/>
            <w:r w:rsidRPr="00C70405">
              <w:rPr>
                <w:rFonts w:ascii="Times New Roman" w:hAnsi="Times New Roman"/>
                <w:b/>
                <w:color w:val="FFFFFF"/>
                <w:sz w:val="18"/>
                <w:szCs w:val="18"/>
              </w:rPr>
              <w:t>META PLAN</w:t>
            </w:r>
            <w:proofErr w:type="gramEnd"/>
            <w:r w:rsidRPr="00C70405">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219F0" w:rsidRPr="00C70405" w14:paraId="562155BB" w14:textId="77777777" w:rsidTr="00F219F0">
        <w:trPr>
          <w:jc w:val="center"/>
        </w:trPr>
        <w:tc>
          <w:tcPr>
            <w:tcW w:w="1185" w:type="dxa"/>
            <w:tcBorders>
              <w:left w:val="single" w:sz="4" w:space="0" w:color="000000"/>
            </w:tcBorders>
            <w:vAlign w:val="center"/>
          </w:tcPr>
          <w:p w14:paraId="00000227"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C70405" w:rsidRDefault="00F219F0" w:rsidP="00F219F0">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219F0" w:rsidRPr="00C70405" w:rsidRDefault="00346FE3" w:rsidP="00F219F0">
            <w:pPr>
              <w:jc w:val="center"/>
              <w:rPr>
                <w:rFonts w:ascii="Times New Roman" w:hAnsi="Times New Roman"/>
                <w:sz w:val="18"/>
                <w:szCs w:val="18"/>
              </w:rPr>
            </w:pPr>
            <w:r w:rsidRPr="00C70405">
              <w:rPr>
                <w:rFonts w:ascii="Times New Roman" w:hAnsi="Times New Roman"/>
                <w:sz w:val="18"/>
                <w:szCs w:val="18"/>
              </w:rPr>
              <w:t>20,53</w:t>
            </w:r>
            <w:r w:rsidR="00F219F0" w:rsidRPr="00C70405">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4302CE95" w:rsidR="00F219F0" w:rsidRPr="00544C65" w:rsidRDefault="008117EA" w:rsidP="00F219F0">
            <w:pPr>
              <w:jc w:val="center"/>
              <w:rPr>
                <w:rFonts w:ascii="Times New Roman" w:hAnsi="Times New Roman"/>
                <w:sz w:val="18"/>
                <w:szCs w:val="18"/>
              </w:rPr>
            </w:pPr>
            <w:r w:rsidRPr="00544C65">
              <w:rPr>
                <w:rFonts w:ascii="Times New Roman" w:hAnsi="Times New Roman"/>
                <w:sz w:val="18"/>
                <w:szCs w:val="18"/>
              </w:rPr>
              <w:t>36</w:t>
            </w:r>
            <w:r w:rsidR="00F219F0" w:rsidRPr="00544C6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D35CD12"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w:t>
            </w:r>
            <w:r w:rsidR="008117EA" w:rsidRPr="00544C65">
              <w:rPr>
                <w:rFonts w:ascii="Times New Roman" w:hAnsi="Times New Roman"/>
                <w:sz w:val="18"/>
                <w:szCs w:val="18"/>
              </w:rPr>
              <w:t>6.85</w:t>
            </w:r>
            <w:r w:rsidRPr="00544C6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 xml:space="preserve">0301003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0301001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0301027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0301002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301028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proofErr w:type="gramStart"/>
      <w:r w:rsidRPr="00C70405">
        <w:t xml:space="preserve">1.6.2.2.1  </w:t>
      </w:r>
      <w:r w:rsidR="001A3C4D" w:rsidRPr="00C70405">
        <w:t>Descripción</w:t>
      </w:r>
      <w:proofErr w:type="gramEnd"/>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proofErr w:type="gram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proofErr w:type="gram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 xml:space="preserve">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C70405">
        <w:rPr>
          <w:rFonts w:ascii="Times New Roman" w:hAnsi="Times New Roman"/>
          <w:sz w:val="22"/>
          <w:szCs w:val="22"/>
        </w:rPr>
        <w:t>los mismos</w:t>
      </w:r>
      <w:proofErr w:type="gramEnd"/>
      <w:r w:rsidR="002F6A24" w:rsidRPr="00C70405">
        <w:rPr>
          <w:rFonts w:ascii="Times New Roman" w:hAnsi="Times New Roman"/>
          <w:sz w:val="22"/>
          <w:szCs w:val="22"/>
        </w:rPr>
        <w:t>,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proofErr w:type="gramStart"/>
      <w:r w:rsidRPr="00C70405">
        <w:rPr>
          <w:rFonts w:ascii="Times New Roman" w:hAnsi="Times New Roman"/>
          <w:sz w:val="22"/>
          <w:szCs w:val="22"/>
        </w:rPr>
        <w:t>Las actividades a desarrollar</w:t>
      </w:r>
      <w:proofErr w:type="gramEnd"/>
      <w:r w:rsidRPr="00C70405">
        <w:rPr>
          <w:rFonts w:ascii="Times New Roman" w:hAnsi="Times New Roman"/>
          <w:sz w:val="22"/>
          <w:szCs w:val="22"/>
        </w:rPr>
        <w:t xml:space="preserve">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C70405" w:rsidRDefault="00D42C36" w:rsidP="00CD6ABB">
      <w:pPr>
        <w:rPr>
          <w:rFonts w:ascii="Times New Roman" w:hAnsi="Times New Roman"/>
          <w:sz w:val="22"/>
          <w:szCs w:val="22"/>
        </w:rPr>
      </w:pPr>
    </w:p>
    <w:p w14:paraId="1447DE49" w14:textId="7FF5AE49"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Adelantar 20 acciones de gestión del conocimiento en materia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Construcción del módulo de Objetivos de Desarrollo Sostenible –ODS en el OAB</w:t>
      </w:r>
      <w:r w:rsidR="00D12903" w:rsidRPr="00C70405">
        <w:rPr>
          <w:rFonts w:ascii="Times New Roman" w:hAnsi="Times New Roman"/>
          <w:sz w:val="22"/>
          <w:szCs w:val="22"/>
        </w:rPr>
        <w:t xml:space="preserve"> (Año 1)</w:t>
      </w:r>
    </w:p>
    <w:p w14:paraId="6C571B3A" w14:textId="686D3F5B" w:rsidR="00146929" w:rsidRPr="00C70405" w:rsidRDefault="00146929" w:rsidP="00146929">
      <w:pPr>
        <w:pStyle w:val="Prrafodelista"/>
        <w:numPr>
          <w:ilvl w:val="0"/>
          <w:numId w:val="31"/>
        </w:numPr>
        <w:rPr>
          <w:rFonts w:ascii="Times New Roman" w:hAnsi="Times New Roman"/>
          <w:sz w:val="22"/>
          <w:szCs w:val="22"/>
        </w:rPr>
      </w:pPr>
      <w:r w:rsidRPr="00C70405">
        <w:rPr>
          <w:rFonts w:ascii="Times New Roman" w:hAnsi="Times New Roman"/>
          <w:sz w:val="22"/>
          <w:szCs w:val="22"/>
        </w:rPr>
        <w:t>Actualizar el módulo PACA año 2020-2024 (Año 2)</w:t>
      </w:r>
    </w:p>
    <w:p w14:paraId="0000026A" w14:textId="72EE7827" w:rsidR="00C41DB3" w:rsidRPr="005452B5"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00D12903" w:rsidRPr="005452B5">
        <w:rPr>
          <w:rFonts w:ascii="Times New Roman" w:hAnsi="Times New Roman"/>
          <w:sz w:val="22"/>
          <w:szCs w:val="22"/>
        </w:rPr>
        <w:t>(</w:t>
      </w:r>
      <w:proofErr w:type="gramEnd"/>
      <w:r w:rsidR="00D12903" w:rsidRPr="005452B5">
        <w:rPr>
          <w:rFonts w:ascii="Times New Roman" w:hAnsi="Times New Roman"/>
          <w:sz w:val="22"/>
          <w:szCs w:val="22"/>
        </w:rPr>
        <w:t>Año 2 – Año 3)</w:t>
      </w:r>
    </w:p>
    <w:p w14:paraId="0000026B" w14:textId="09D83F61"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Fortalecimiento de la gestión de información para el cumplimiento de la Sentencia del Río Bogotá para el Sistema de In</w:t>
      </w:r>
      <w:r w:rsidR="00D12903" w:rsidRPr="00C70405">
        <w:rPr>
          <w:rFonts w:ascii="Times New Roman" w:hAnsi="Times New Roman"/>
          <w:sz w:val="22"/>
          <w:szCs w:val="22"/>
        </w:rPr>
        <w:t>formación del Río Bogotá –SÍRÍO</w:t>
      </w:r>
      <w:r w:rsidR="00E62AEB">
        <w:rPr>
          <w:rFonts w:ascii="Times New Roman" w:hAnsi="Times New Roman"/>
          <w:sz w:val="22"/>
          <w:szCs w:val="22"/>
        </w:rPr>
        <w:t xml:space="preserve">; </w:t>
      </w:r>
      <w:r w:rsidR="00E62AEB" w:rsidRPr="005452B5">
        <w:rPr>
          <w:rFonts w:ascii="Times New Roman" w:hAnsi="Times New Roman"/>
          <w:sz w:val="22"/>
          <w:szCs w:val="22"/>
        </w:rPr>
        <w:t>ORARBO</w:t>
      </w:r>
      <w:r w:rsidR="00D12903" w:rsidRPr="00C70405">
        <w:rPr>
          <w:rFonts w:ascii="Times New Roman" w:hAnsi="Times New Roman"/>
          <w:sz w:val="22"/>
          <w:szCs w:val="22"/>
        </w:rPr>
        <w:t xml:space="preserve"> (Año 3 – Año 5)</w:t>
      </w:r>
    </w:p>
    <w:p w14:paraId="0000026C" w14:textId="6BE6B8CF" w:rsidR="00C41DB3" w:rsidRPr="005452B5" w:rsidRDefault="00FE468A" w:rsidP="00FE468A">
      <w:pPr>
        <w:numPr>
          <w:ilvl w:val="0"/>
          <w:numId w:val="31"/>
        </w:numPr>
        <w:rPr>
          <w:rFonts w:ascii="Times New Roman" w:hAnsi="Times New Roman"/>
          <w:i/>
          <w:sz w:val="22"/>
          <w:szCs w:val="22"/>
        </w:rPr>
      </w:pPr>
      <w:r w:rsidRPr="005452B5">
        <w:rPr>
          <w:rFonts w:ascii="Times New Roman" w:hAnsi="Times New Roman"/>
          <w:iCs/>
          <w:sz w:val="22"/>
          <w:szCs w:val="22"/>
          <w:highlight w:val="white"/>
        </w:rPr>
        <w:lastRenderedPageBreak/>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w:t>
      </w:r>
      <w:r w:rsidR="00D12903" w:rsidRPr="005452B5">
        <w:rPr>
          <w:rFonts w:ascii="Times New Roman" w:hAnsi="Times New Roman"/>
          <w:sz w:val="22"/>
          <w:szCs w:val="22"/>
        </w:rPr>
        <w:t>(Año 4)</w:t>
      </w:r>
    </w:p>
    <w:p w14:paraId="0D4CD9A9" w14:textId="26E97B04" w:rsidR="004C4482" w:rsidRPr="005452B5" w:rsidRDefault="004C4482" w:rsidP="00FE468A">
      <w:pPr>
        <w:numPr>
          <w:ilvl w:val="0"/>
          <w:numId w:val="31"/>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w:t>
      </w:r>
      <w:r w:rsidR="006140CB" w:rsidRPr="005452B5">
        <w:rPr>
          <w:rFonts w:ascii="Times New Roman" w:hAnsi="Times New Roman"/>
          <w:sz w:val="22"/>
          <w:szCs w:val="22"/>
        </w:rPr>
        <w:t>.</w:t>
      </w:r>
      <w:r w:rsidRPr="005452B5">
        <w:rPr>
          <w:rFonts w:ascii="Times New Roman" w:hAnsi="Times New Roman"/>
          <w:sz w:val="22"/>
          <w:szCs w:val="22"/>
        </w:rPr>
        <w:t xml:space="preserve">  </w:t>
      </w:r>
      <w:r w:rsidR="006140CB" w:rsidRPr="005452B5">
        <w:rPr>
          <w:rFonts w:ascii="Times New Roman" w:hAnsi="Times New Roman"/>
          <w:sz w:val="22"/>
          <w:szCs w:val="22"/>
        </w:rPr>
        <w:t>(Año 4)</w:t>
      </w:r>
    </w:p>
    <w:p w14:paraId="0000026D" w14:textId="4FB7CBFF" w:rsidR="00C41DB3" w:rsidRPr="005452B5" w:rsidRDefault="00FE468A" w:rsidP="005452B5">
      <w:pPr>
        <w:numPr>
          <w:ilvl w:val="0"/>
          <w:numId w:val="31"/>
        </w:numPr>
        <w:rPr>
          <w:rFonts w:ascii="Times New Roman" w:hAnsi="Times New Roman"/>
          <w:sz w:val="22"/>
          <w:szCs w:val="22"/>
        </w:rPr>
      </w:pPr>
      <w:r w:rsidRPr="005452B5">
        <w:rPr>
          <w:rFonts w:ascii="Times New Roman" w:hAnsi="Times New Roman"/>
          <w:sz w:val="22"/>
          <w:szCs w:val="22"/>
        </w:rPr>
        <w:t xml:space="preserve">Elaborar </w:t>
      </w:r>
      <w:r w:rsidR="001A3C4D" w:rsidRPr="005452B5">
        <w:rPr>
          <w:rFonts w:ascii="Times New Roman" w:hAnsi="Times New Roman"/>
          <w:sz w:val="22"/>
          <w:szCs w:val="22"/>
        </w:rPr>
        <w:t>documento resumen de línea base ambiental como insumo para la toma de decisiones de política pública</w:t>
      </w:r>
      <w:r w:rsidR="00D12903" w:rsidRPr="005452B5">
        <w:rPr>
          <w:rFonts w:ascii="Times New Roman" w:hAnsi="Times New Roman"/>
          <w:sz w:val="22"/>
          <w:szCs w:val="22"/>
        </w:rPr>
        <w:t xml:space="preserve"> (ODS, indicadores ambientales) (Año 5)</w:t>
      </w:r>
    </w:p>
    <w:p w14:paraId="5919DB9D" w14:textId="30BA74CA" w:rsidR="00C30BB8" w:rsidRPr="005452B5" w:rsidRDefault="005452B5" w:rsidP="005452B5">
      <w:pPr>
        <w:numPr>
          <w:ilvl w:val="0"/>
          <w:numId w:val="31"/>
        </w:numPr>
        <w:rPr>
          <w:rFonts w:ascii="Times New Roman" w:hAnsi="Times New Roman"/>
          <w:sz w:val="22"/>
          <w:szCs w:val="22"/>
        </w:rPr>
      </w:pPr>
      <w:r w:rsidRPr="005452B5">
        <w:rPr>
          <w:rFonts w:ascii="Times New Roman" w:hAnsi="Times New Roman"/>
          <w:sz w:val="22"/>
          <w:szCs w:val="22"/>
        </w:rPr>
        <w:t>I</w:t>
      </w:r>
      <w:r w:rsidR="00C30BB8" w:rsidRPr="005452B5">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Formulación del DTS de investigación (Año 2)</w:t>
      </w:r>
    </w:p>
    <w:p w14:paraId="6F65DA4E" w14:textId="3B0BB0F5"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Pr>
          <w:rFonts w:ascii="Times New Roman" w:hAnsi="Times New Roman"/>
          <w:sz w:val="22"/>
          <w:szCs w:val="22"/>
        </w:rPr>
        <w:t>S</w:t>
      </w:r>
      <w:r w:rsidR="00560F2B"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5452B5">
        <w:rPr>
          <w:rFonts w:ascii="Times New Roman" w:hAnsi="Times New Roman"/>
          <w:sz w:val="22"/>
          <w:szCs w:val="22"/>
        </w:rPr>
        <w:t>. (Año 4</w:t>
      </w:r>
      <w:r w:rsidR="00F63F22">
        <w:rPr>
          <w:rFonts w:ascii="Times New Roman" w:hAnsi="Times New Roman"/>
          <w:sz w:val="22"/>
          <w:szCs w:val="22"/>
        </w:rPr>
        <w:t xml:space="preserve"> y Año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C70405">
        <w:rPr>
          <w:rFonts w:ascii="Times New Roman" w:hAnsi="Times New Roman"/>
          <w:sz w:val="22"/>
          <w:szCs w:val="22"/>
        </w:rPr>
        <w:t>la misma</w:t>
      </w:r>
      <w:proofErr w:type="gramEnd"/>
      <w:r w:rsidR="00FD0195"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229C909A" w:rsidR="00C41DB3" w:rsidRPr="00C70405"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00000275" w14:textId="0B0B41C8" w:rsidR="00C41DB3" w:rsidRPr="00C70405" w:rsidRDefault="00E4281E" w:rsidP="003D3A26">
      <w:pPr>
        <w:pStyle w:val="Ttulo5"/>
        <w:numPr>
          <w:ilvl w:val="0"/>
          <w:numId w:val="0"/>
        </w:numPr>
        <w:ind w:left="720"/>
      </w:pPr>
      <w:bookmarkStart w:id="22" w:name="_Hlk55052069"/>
      <w:proofErr w:type="gramStart"/>
      <w:r w:rsidRPr="00C70405">
        <w:t xml:space="preserve">1.6.2.2.2  </w:t>
      </w:r>
      <w:proofErr w:type="spellStart"/>
      <w:r w:rsidRPr="00C70405">
        <w:t>Anualización</w:t>
      </w:r>
      <w:bookmarkEnd w:id="22"/>
      <w:proofErr w:type="spellEnd"/>
      <w:proofErr w:type="gram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C70405" w14:paraId="31469AE3" w14:textId="77777777" w:rsidTr="0024657C">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lastRenderedPageBreak/>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24657C">
        <w:trPr>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24657C">
        <w:trPr>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1ABCC06B" w:rsidR="00DB5D88" w:rsidRPr="00544C65" w:rsidRDefault="008117EA" w:rsidP="0024657C">
            <w:pPr>
              <w:tabs>
                <w:tab w:val="left" w:pos="1311"/>
              </w:tabs>
              <w:jc w:val="center"/>
              <w:rPr>
                <w:rFonts w:ascii="Times New Roman" w:hAnsi="Times New Roman"/>
                <w:sz w:val="18"/>
                <w:szCs w:val="18"/>
              </w:rPr>
            </w:pPr>
            <w:r w:rsidRPr="00544C65">
              <w:rPr>
                <w:rFonts w:ascii="Times New Roman" w:hAnsi="Times New Roman"/>
                <w:sz w:val="18"/>
                <w:szCs w:val="18"/>
              </w:rPr>
              <w:t>36</w:t>
            </w:r>
            <w:r w:rsidR="00DB5D88" w:rsidRPr="00544C6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32ADF3C5" w:rsidR="00DB5D88" w:rsidRPr="00544C65" w:rsidRDefault="00DB5D88" w:rsidP="0024657C">
            <w:pPr>
              <w:tabs>
                <w:tab w:val="left" w:pos="1311"/>
              </w:tabs>
              <w:jc w:val="center"/>
              <w:rPr>
                <w:rFonts w:ascii="Times New Roman" w:hAnsi="Times New Roman"/>
                <w:sz w:val="18"/>
                <w:szCs w:val="18"/>
              </w:rPr>
            </w:pPr>
            <w:r w:rsidRPr="00544C65">
              <w:rPr>
                <w:rFonts w:ascii="Times New Roman" w:hAnsi="Times New Roman"/>
                <w:sz w:val="18"/>
                <w:szCs w:val="18"/>
              </w:rPr>
              <w:t>1</w:t>
            </w:r>
            <w:r w:rsidR="008117EA" w:rsidRPr="00544C65">
              <w:rPr>
                <w:rFonts w:ascii="Times New Roman" w:hAnsi="Times New Roman"/>
                <w:sz w:val="18"/>
                <w:szCs w:val="18"/>
              </w:rPr>
              <w:t>6.85</w:t>
            </w:r>
            <w:r w:rsidRPr="00544C65">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39F09FFD" w:rsidR="00DB5D88" w:rsidRPr="00544C65" w:rsidRDefault="00DB5D88" w:rsidP="0024657C">
            <w:pPr>
              <w:jc w:val="center"/>
              <w:rPr>
                <w:rFonts w:ascii="Times New Roman" w:hAnsi="Times New Roman"/>
                <w:sz w:val="18"/>
                <w:szCs w:val="18"/>
              </w:rPr>
            </w:pPr>
            <w:r w:rsidRPr="00544C6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544C65" w:rsidRDefault="00DB5D88" w:rsidP="0024657C">
            <w:pPr>
              <w:jc w:val="center"/>
              <w:rPr>
                <w:rFonts w:ascii="Times New Roman" w:hAnsi="Times New Roman"/>
                <w:sz w:val="18"/>
                <w:szCs w:val="18"/>
              </w:rPr>
            </w:pPr>
            <w:r w:rsidRPr="00544C65">
              <w:rPr>
                <w:rFonts w:ascii="Times New Roman" w:hAnsi="Times New Roman"/>
                <w:sz w:val="18"/>
                <w:szCs w:val="18"/>
              </w:rPr>
              <w:t>100%</w:t>
            </w:r>
          </w:p>
        </w:tc>
      </w:tr>
      <w:tr w:rsidR="0093201D" w:rsidRPr="00C70405" w14:paraId="3593A357" w14:textId="77777777" w:rsidTr="0024657C">
        <w:trPr>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C70405" w:rsidRDefault="0093201D" w:rsidP="0024657C">
            <w:pPr>
              <w:jc w:val="center"/>
              <w:rPr>
                <w:rFonts w:ascii="Times New Roman" w:hAnsi="Times New Roman"/>
                <w:sz w:val="18"/>
                <w:szCs w:val="18"/>
              </w:rPr>
            </w:pPr>
            <w:r w:rsidRPr="00C7040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100%</w:t>
            </w:r>
          </w:p>
        </w:tc>
      </w:tr>
      <w:tr w:rsidR="0093201D" w:rsidRPr="00C70405" w14:paraId="49196FAA" w14:textId="77777777" w:rsidTr="0024657C">
        <w:trPr>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12</w:t>
            </w:r>
            <w:r w:rsidR="00A864ED" w:rsidRPr="00C70405">
              <w:rPr>
                <w:rFonts w:ascii="Times New Roman" w:hAnsi="Times New Roman"/>
                <w:sz w:val="18"/>
                <w:szCs w:val="18"/>
              </w:rPr>
              <w:t>,</w:t>
            </w:r>
            <w:r w:rsidRPr="00C7040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C70405" w:rsidRDefault="0093201D" w:rsidP="0024657C">
            <w:pPr>
              <w:jc w:val="center"/>
              <w:rPr>
                <w:rFonts w:ascii="Times New Roman" w:hAnsi="Times New Roman"/>
                <w:sz w:val="18"/>
                <w:szCs w:val="18"/>
              </w:rPr>
            </w:pPr>
            <w:r w:rsidRPr="00C7040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2</w:t>
            </w:r>
            <w:r w:rsidR="00E93B5D" w:rsidRPr="00544C65">
              <w:rPr>
                <w:rFonts w:ascii="Times New Roman" w:hAnsi="Times New Roman"/>
                <w:sz w:val="16"/>
                <w:szCs w:val="16"/>
              </w:rPr>
              <w:t>5</w:t>
            </w:r>
            <w:r w:rsidRPr="00544C65">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2</w:t>
            </w:r>
            <w:r w:rsidR="00E93B5D" w:rsidRPr="00544C65">
              <w:rPr>
                <w:rFonts w:ascii="Times New Roman" w:hAnsi="Times New Roman"/>
                <w:sz w:val="16"/>
                <w:szCs w:val="16"/>
              </w:rPr>
              <w:t>8</w:t>
            </w:r>
            <w:r w:rsidRPr="00544C65">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12</w:t>
            </w:r>
            <w:r w:rsidR="00DB5D88" w:rsidRPr="00544C65">
              <w:rPr>
                <w:rFonts w:ascii="Times New Roman" w:hAnsi="Times New Roman"/>
                <w:sz w:val="16"/>
                <w:szCs w:val="16"/>
              </w:rPr>
              <w:t>,</w:t>
            </w:r>
            <w:r w:rsidRPr="00544C65">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100%</w:t>
            </w:r>
          </w:p>
        </w:tc>
      </w:tr>
      <w:tr w:rsidR="0093201D" w:rsidRPr="00C70405" w14:paraId="7CD43136" w14:textId="77777777" w:rsidTr="0024657C">
        <w:trPr>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C70405" w:rsidRDefault="0093201D" w:rsidP="0024657C">
            <w:pPr>
              <w:jc w:val="center"/>
              <w:rPr>
                <w:rFonts w:ascii="Times New Roman" w:hAnsi="Times New Roman"/>
                <w:sz w:val="18"/>
                <w:szCs w:val="18"/>
                <w:highlight w:val="yellow"/>
              </w:rPr>
            </w:pPr>
            <w:r w:rsidRPr="00C7040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69FB4498" w:rsidR="0093201D" w:rsidRPr="00544C65" w:rsidRDefault="00024134" w:rsidP="0024657C">
            <w:pPr>
              <w:jc w:val="center"/>
              <w:rPr>
                <w:rFonts w:ascii="Times New Roman" w:hAnsi="Times New Roman"/>
                <w:sz w:val="18"/>
                <w:szCs w:val="18"/>
              </w:rPr>
            </w:pPr>
            <w:r w:rsidRPr="00544C65">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544C65" w:rsidRDefault="00024134" w:rsidP="0024657C">
            <w:pPr>
              <w:jc w:val="center"/>
              <w:rPr>
                <w:rFonts w:ascii="Times New Roman" w:hAnsi="Times New Roman"/>
                <w:sz w:val="18"/>
                <w:szCs w:val="18"/>
              </w:rPr>
            </w:pPr>
            <w:r w:rsidRPr="00544C65">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20</w:t>
            </w:r>
          </w:p>
        </w:tc>
      </w:tr>
      <w:tr w:rsidR="0093201D" w:rsidRPr="00C70405" w14:paraId="7370E8B7" w14:textId="77777777" w:rsidTr="0024657C">
        <w:trPr>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C70405" w:rsidRDefault="0093201D" w:rsidP="0024657C">
            <w:pPr>
              <w:jc w:val="center"/>
              <w:rPr>
                <w:rFonts w:ascii="Times New Roman" w:hAnsi="Times New Roman"/>
                <w:sz w:val="18"/>
                <w:szCs w:val="18"/>
                <w:highlight w:val="yellow"/>
              </w:rPr>
            </w:pPr>
            <w:r w:rsidRPr="00C7040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544C65" w:rsidRDefault="0093201D" w:rsidP="0024657C">
            <w:pPr>
              <w:jc w:val="center"/>
              <w:rPr>
                <w:rFonts w:ascii="Times New Roman" w:hAnsi="Times New Roman"/>
                <w:sz w:val="18"/>
                <w:szCs w:val="18"/>
              </w:rPr>
            </w:pPr>
            <w:r w:rsidRPr="00544C6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w:t>
      </w:r>
      <w:proofErr w:type="gramStart"/>
      <w:r w:rsidR="00D57403" w:rsidRPr="0062685C">
        <w:rPr>
          <w:rFonts w:ascii="Times New Roman" w:hAnsi="Times New Roman"/>
          <w:b/>
          <w:sz w:val="16"/>
          <w:szCs w:val="16"/>
        </w:rPr>
        <w:t>Agosto</w:t>
      </w:r>
      <w:proofErr w:type="gramEnd"/>
      <w:r w:rsidR="00D57403" w:rsidRPr="0062685C">
        <w:rPr>
          <w:rFonts w:ascii="Times New Roman" w:hAnsi="Times New Roman"/>
          <w:b/>
          <w:sz w:val="16"/>
          <w:szCs w:val="16"/>
        </w:rPr>
        <w:t xml:space="preserve">)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proofErr w:type="gramStart"/>
      <w:r w:rsidRPr="00C70405">
        <w:t>1.6.2.3  Indicadores</w:t>
      </w:r>
      <w:proofErr w:type="gramEnd"/>
      <w:r w:rsidRPr="00C70405">
        <w:t xml:space="preserve">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 xml:space="preserve">Número de instrumentos priorizados de planeación </w:t>
            </w:r>
            <w:proofErr w:type="gramStart"/>
            <w:r w:rsidRPr="00C70405">
              <w:rPr>
                <w:rFonts w:ascii="Times New Roman" w:hAnsi="Times New Roman"/>
                <w:sz w:val="18"/>
                <w:szCs w:val="18"/>
              </w:rPr>
              <w:t>ambiental  formulados</w:t>
            </w:r>
            <w:proofErr w:type="gramEnd"/>
            <w:r w:rsidRPr="00C70405">
              <w:rPr>
                <w:rFonts w:ascii="Times New Roman" w:hAnsi="Times New Roman"/>
                <w:sz w:val="18"/>
                <w:szCs w:val="18"/>
              </w:rPr>
              <w:t xml:space="preserve">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lastRenderedPageBreak/>
              <w:t xml:space="preserve">Porcentaje </w:t>
            </w:r>
            <w:r w:rsidR="001A3C4D" w:rsidRPr="00C70405">
              <w:rPr>
                <w:rFonts w:ascii="Times New Roman" w:hAnsi="Times New Roman"/>
                <w:sz w:val="18"/>
                <w:szCs w:val="18"/>
              </w:rPr>
              <w:t xml:space="preserve">de avance en el fortalecimiento </w:t>
            </w:r>
            <w:proofErr w:type="gramStart"/>
            <w:r w:rsidR="001A3C4D" w:rsidRPr="00C70405">
              <w:rPr>
                <w:rFonts w:ascii="Times New Roman" w:hAnsi="Times New Roman"/>
                <w:sz w:val="18"/>
                <w:szCs w:val="18"/>
              </w:rPr>
              <w:t>de  la</w:t>
            </w:r>
            <w:proofErr w:type="gramEnd"/>
            <w:r w:rsidR="001A3C4D" w:rsidRPr="00C70405">
              <w:rPr>
                <w:rFonts w:ascii="Times New Roman" w:hAnsi="Times New Roman"/>
                <w:sz w:val="18"/>
                <w:szCs w:val="18"/>
              </w:rPr>
              <w:t xml:space="preserve">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 xml:space="preserve">Número de informes de seguimiento integrales a los proyectos de </w:t>
            </w:r>
            <w:proofErr w:type="gramStart"/>
            <w:r w:rsidRPr="00C70405">
              <w:rPr>
                <w:rFonts w:ascii="Times New Roman" w:hAnsi="Times New Roman"/>
                <w:sz w:val="18"/>
                <w:szCs w:val="18"/>
              </w:rPr>
              <w:t>inversión  mensuales</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 </w:t>
      </w:r>
    </w:p>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lo cual se realizará mediante las herramientas 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lastRenderedPageBreak/>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lastRenderedPageBreak/>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Pr="005452B5">
        <w:rPr>
          <w:rFonts w:ascii="Times New Roman" w:hAnsi="Times New Roman"/>
          <w:sz w:val="22"/>
          <w:szCs w:val="22"/>
        </w:rPr>
        <w:t>(</w:t>
      </w:r>
      <w:proofErr w:type="gramEnd"/>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70405">
        <w:rPr>
          <w:rFonts w:ascii="Times New Roman" w:hAnsi="Times New Roman"/>
          <w:sz w:val="22"/>
          <w:szCs w:val="22"/>
        </w:rPr>
        <w:t>P</w:t>
      </w:r>
      <w:r w:rsidRPr="00C70405">
        <w:rPr>
          <w:rFonts w:ascii="Times New Roman" w:hAnsi="Times New Roman"/>
          <w:sz w:val="22"/>
          <w:szCs w:val="22"/>
        </w:rPr>
        <w:t xml:space="preserve">lan </w:t>
      </w:r>
      <w:r w:rsidR="00A3266D" w:rsidRPr="00C70405">
        <w:rPr>
          <w:rFonts w:ascii="Times New Roman" w:hAnsi="Times New Roman"/>
          <w:sz w:val="22"/>
          <w:szCs w:val="22"/>
        </w:rPr>
        <w:t>A</w:t>
      </w:r>
      <w:r w:rsidRPr="00C70405">
        <w:rPr>
          <w:rFonts w:ascii="Times New Roman" w:hAnsi="Times New Roman"/>
          <w:sz w:val="22"/>
          <w:szCs w:val="22"/>
        </w:rPr>
        <w:t xml:space="preserve">nual de </w:t>
      </w:r>
      <w:r w:rsidR="00A3266D" w:rsidRPr="00C70405">
        <w:rPr>
          <w:rFonts w:ascii="Times New Roman" w:hAnsi="Times New Roman"/>
          <w:sz w:val="22"/>
          <w:szCs w:val="22"/>
        </w:rPr>
        <w:t>A</w:t>
      </w:r>
      <w:r w:rsidRPr="00C70405">
        <w:rPr>
          <w:rFonts w:ascii="Times New Roman" w:hAnsi="Times New Roman"/>
          <w:sz w:val="22"/>
          <w:szCs w:val="22"/>
        </w:rPr>
        <w:t>dquisiciones 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C70405" w:rsidRDefault="00894285" w:rsidP="00FE468A">
      <w:pPr>
        <w:numPr>
          <w:ilvl w:val="0"/>
          <w:numId w:val="9"/>
        </w:numPr>
        <w:rPr>
          <w:rFonts w:ascii="Times New Roman" w:hAnsi="Times New Roman"/>
          <w:sz w:val="22"/>
          <w:szCs w:val="22"/>
        </w:rPr>
      </w:pPr>
      <w:r w:rsidRPr="00C70405">
        <w:rPr>
          <w:rFonts w:ascii="Times New Roman" w:hAnsi="Times New Roman"/>
          <w:sz w:val="22"/>
          <w:szCs w:val="22"/>
        </w:rPr>
        <w:t>Consolidar el componente de gestión d</w:t>
      </w:r>
      <w:r w:rsidR="00A3266D" w:rsidRPr="00C70405">
        <w:rPr>
          <w:rFonts w:ascii="Times New Roman" w:hAnsi="Times New Roman"/>
          <w:sz w:val="22"/>
          <w:szCs w:val="22"/>
        </w:rPr>
        <w:t>e</w:t>
      </w:r>
      <w:r w:rsidRPr="00C70405">
        <w:rPr>
          <w:rFonts w:ascii="Times New Roman" w:hAnsi="Times New Roman"/>
          <w:sz w:val="22"/>
          <w:szCs w:val="22"/>
        </w:rPr>
        <w:t xml:space="preserve"> los proyectos de inversión para el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3" w:name="_heading=h.zc18f06gxmsj" w:colFirst="0" w:colLast="0"/>
      <w:bookmarkEnd w:id="23"/>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proofErr w:type="gramStart"/>
      <w:r w:rsidRPr="00C70405">
        <w:t xml:space="preserve">2.2.1  </w:t>
      </w:r>
      <w:r w:rsidR="001A3C4D" w:rsidRPr="00C70405">
        <w:t>Nombre</w:t>
      </w:r>
      <w:proofErr w:type="gramEnd"/>
      <w:r w:rsidR="001A3C4D" w:rsidRPr="00C70405">
        <w:t xml:space="preserv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5356F024"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C70405">
        <w:rPr>
          <w:rFonts w:ascii="Times New Roman" w:hAnsi="Times New Roman"/>
          <w:sz w:val="22"/>
          <w:szCs w:val="22"/>
        </w:rPr>
        <w:t>bajo la base</w:t>
      </w:r>
      <w:proofErr w:type="gramEnd"/>
      <w:r w:rsidRPr="00C7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C70405">
        <w:rPr>
          <w:rFonts w:ascii="Times New Roman" w:hAnsi="Times New Roman"/>
          <w:sz w:val="22"/>
          <w:szCs w:val="22"/>
        </w:rPr>
        <w:t>y</w:t>
      </w:r>
      <w:proofErr w:type="gramEnd"/>
      <w:r w:rsidRPr="00C7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w:t>
      </w:r>
      <w:proofErr w:type="gramStart"/>
      <w:r w:rsidRPr="00C70405">
        <w:rPr>
          <w:rFonts w:ascii="Times New Roman" w:hAnsi="Times New Roman"/>
          <w:sz w:val="22"/>
          <w:szCs w:val="22"/>
        </w:rPr>
        <w:t>la  Estrategia</w:t>
      </w:r>
      <w:proofErr w:type="gramEnd"/>
      <w:r w:rsidRPr="00C70405">
        <w:rPr>
          <w:rFonts w:ascii="Times New Roman" w:hAnsi="Times New Roman"/>
          <w:sz w:val="22"/>
          <w:szCs w:val="22"/>
        </w:rPr>
        <w:t xml:space="preserve">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 xml:space="preserve">Decreto 548 de 2016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proofErr w:type="gramStart"/>
      <w:r w:rsidRPr="00C70405">
        <w:lastRenderedPageBreak/>
        <w:t xml:space="preserve">2.2.5  </w:t>
      </w:r>
      <w:r w:rsidR="001A3C4D" w:rsidRPr="00C70405">
        <w:t>Efectos</w:t>
      </w:r>
      <w:proofErr w:type="gramEnd"/>
      <w:r w:rsidR="001A3C4D" w:rsidRPr="00C70405">
        <w:t xml:space="preserve">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C70405">
        <w:rPr>
          <w:rFonts w:ascii="Times New Roman" w:hAnsi="Times New Roman"/>
          <w:sz w:val="22"/>
          <w:szCs w:val="22"/>
        </w:rPr>
        <w:t>la misma</w:t>
      </w:r>
      <w:proofErr w:type="gramEnd"/>
      <w:r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La gestión del </w:t>
      </w:r>
      <w:proofErr w:type="gramStart"/>
      <w:r w:rsidRPr="00C70405">
        <w:rPr>
          <w:rFonts w:ascii="Times New Roman" w:hAnsi="Times New Roman"/>
          <w:sz w:val="22"/>
          <w:szCs w:val="22"/>
        </w:rPr>
        <w:t>conocimiento,</w:t>
      </w:r>
      <w:proofErr w:type="gramEnd"/>
      <w:r w:rsidRPr="00C70405">
        <w:rPr>
          <w:rFonts w:ascii="Times New Roman" w:hAnsi="Times New Roman"/>
          <w:sz w:val="22"/>
          <w:szCs w:val="22"/>
        </w:rPr>
        <w:t xml:space="preserve">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C70405">
        <w:rPr>
          <w:rFonts w:ascii="Times New Roman" w:hAnsi="Times New Roman"/>
          <w:sz w:val="22"/>
          <w:szCs w:val="22"/>
        </w:rPr>
        <w:t>información,</w:t>
      </w:r>
      <w:proofErr w:type="gramEnd"/>
      <w:r w:rsidRPr="00C70405">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r w:rsidRPr="00C70405">
        <w:rPr>
          <w:rFonts w:ascii="Times New Roman" w:hAnsi="Times New Roman"/>
          <w:sz w:val="22"/>
          <w:szCs w:val="22"/>
        </w:rPr>
        <w:t>El proyecto de inversión no tiene asociado un Plan Maestro adoptado en la ciudad.</w:t>
      </w:r>
    </w:p>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C70405"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lastRenderedPageBreak/>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proofErr w:type="gramStart"/>
      <w:r w:rsidRPr="00C70405">
        <w:t xml:space="preserve">2.2.10.3  </w:t>
      </w:r>
      <w:r w:rsidR="001A3C4D" w:rsidRPr="00C70405">
        <w:t>Localización</w:t>
      </w:r>
      <w:proofErr w:type="gramEnd"/>
      <w:r w:rsidR="001A3C4D" w:rsidRPr="00C70405">
        <w:t xml:space="preserve"> geográfica </w:t>
      </w:r>
    </w:p>
    <w:p w14:paraId="23045E38" w14:textId="77777777" w:rsidR="00840575" w:rsidRPr="00C7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color w:val="000000"/>
          <w:sz w:val="22"/>
          <w:szCs w:val="22"/>
        </w:rPr>
        <w:t>Figura: Mapa Bogotá y Estructura ecológica Principal</w:t>
      </w:r>
    </w:p>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w:t>
            </w:r>
            <w:proofErr w:type="gramStart"/>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w:t>
            </w:r>
            <w:proofErr w:type="gramEnd"/>
            <w:r w:rsidR="001A3C4D" w:rsidRPr="00C70405">
              <w:rPr>
                <w:rFonts w:ascii="Times New Roman" w:hAnsi="Times New Roman"/>
                <w:sz w:val="18"/>
                <w:szCs w:val="18"/>
              </w:rPr>
              <w:t xml:space="preserve">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57E30A60" w:rsidR="00C41DB3" w:rsidRPr="00E056EB" w:rsidRDefault="00F72630" w:rsidP="00CD6ABB">
            <w:pPr>
              <w:jc w:val="center"/>
              <w:rPr>
                <w:rFonts w:ascii="Times New Roman" w:hAnsi="Times New Roman"/>
                <w:sz w:val="18"/>
                <w:szCs w:val="18"/>
              </w:rPr>
            </w:pPr>
            <w:r w:rsidRPr="00E056EB">
              <w:rPr>
                <w:rFonts w:ascii="Times New Roman" w:hAnsi="Times New Roman"/>
                <w:sz w:val="18"/>
                <w:szCs w:val="18"/>
              </w:rPr>
              <w:t>7</w:t>
            </w:r>
            <w:r w:rsidR="00657C35" w:rsidRPr="00E056EB">
              <w:rPr>
                <w:rFonts w:ascii="Times New Roman" w:hAnsi="Times New Roman"/>
                <w:sz w:val="18"/>
                <w:szCs w:val="18"/>
              </w:rPr>
              <w:t>.</w:t>
            </w:r>
            <w:r w:rsidRPr="00E056EB">
              <w:rPr>
                <w:rFonts w:ascii="Times New Roman" w:hAnsi="Times New Roman"/>
                <w:sz w:val="18"/>
                <w:szCs w:val="18"/>
              </w:rPr>
              <w:t>869</w:t>
            </w:r>
            <w:r w:rsidR="00657C35" w:rsidRPr="00E056EB">
              <w:rPr>
                <w:rFonts w:ascii="Times New Roman" w:hAnsi="Times New Roman"/>
                <w:sz w:val="18"/>
                <w:szCs w:val="18"/>
              </w:rPr>
              <w:t>.</w:t>
            </w:r>
            <w:r w:rsidRPr="00E056EB">
              <w:rPr>
                <w:rFonts w:ascii="Times New Roman" w:hAnsi="Times New Roman"/>
                <w:sz w:val="18"/>
                <w:szCs w:val="18"/>
              </w:rPr>
              <w:t>526</w:t>
            </w:r>
            <w:r w:rsidR="00657C35" w:rsidRPr="00E056EB">
              <w:rPr>
                <w:rFonts w:ascii="Times New Roman" w:hAnsi="Times New Roman"/>
                <w:sz w:val="18"/>
                <w:szCs w:val="18"/>
              </w:rPr>
              <w:t>.</w:t>
            </w:r>
            <w:r w:rsidRPr="00E056EB">
              <w:rPr>
                <w:rFonts w:ascii="Times New Roman" w:hAnsi="Times New Roman"/>
                <w:sz w:val="18"/>
                <w:szCs w:val="18"/>
              </w:rPr>
              <w:t>959</w:t>
            </w: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E056EB"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E056EB"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E056EB"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62CCE479" w:rsidR="00657C35" w:rsidRPr="00E056EB" w:rsidRDefault="00657C35" w:rsidP="00657C35">
            <w:pPr>
              <w:jc w:val="center"/>
              <w:rPr>
                <w:rFonts w:ascii="Times New Roman" w:hAnsi="Times New Roman"/>
                <w:sz w:val="18"/>
                <w:szCs w:val="18"/>
              </w:rPr>
            </w:pPr>
            <w:r w:rsidRPr="00E056EB">
              <w:rPr>
                <w:rFonts w:ascii="Times New Roman" w:hAnsi="Times New Roman"/>
                <w:sz w:val="18"/>
                <w:szCs w:val="18"/>
              </w:rPr>
              <w:t>2.</w:t>
            </w:r>
            <w:r w:rsidR="004823AD" w:rsidRPr="00E056EB">
              <w:rPr>
                <w:rFonts w:ascii="Times New Roman" w:hAnsi="Times New Roman"/>
                <w:sz w:val="18"/>
                <w:szCs w:val="18"/>
              </w:rPr>
              <w:t>970</w:t>
            </w:r>
            <w:r w:rsidRPr="00E056EB">
              <w:rPr>
                <w:rFonts w:ascii="Times New Roman" w:hAnsi="Times New Roman"/>
                <w:sz w:val="18"/>
                <w:szCs w:val="18"/>
              </w:rPr>
              <w:t>.</w:t>
            </w:r>
            <w:r w:rsidR="004823AD" w:rsidRPr="00E056EB">
              <w:rPr>
                <w:rFonts w:ascii="Times New Roman" w:hAnsi="Times New Roman"/>
                <w:sz w:val="18"/>
                <w:szCs w:val="18"/>
              </w:rPr>
              <w:t>802</w:t>
            </w:r>
            <w:r w:rsidRPr="00E056EB">
              <w:rPr>
                <w:rFonts w:ascii="Times New Roman" w:hAnsi="Times New Roman"/>
                <w:sz w:val="18"/>
                <w:szCs w:val="18"/>
              </w:rPr>
              <w:t>.</w:t>
            </w:r>
            <w:r w:rsidR="004823AD" w:rsidRPr="00E056EB">
              <w:rPr>
                <w:rFonts w:ascii="Times New Roman" w:hAnsi="Times New Roman"/>
                <w:sz w:val="18"/>
                <w:szCs w:val="18"/>
              </w:rPr>
              <w:t>813</w:t>
            </w: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05374616" w:rsidR="00657C35" w:rsidRPr="00E056EB" w:rsidRDefault="00657C35" w:rsidP="00657C35">
            <w:pPr>
              <w:jc w:val="center"/>
              <w:rPr>
                <w:rFonts w:ascii="Times New Roman" w:hAnsi="Times New Roman"/>
                <w:sz w:val="18"/>
                <w:szCs w:val="18"/>
              </w:rPr>
            </w:pPr>
            <w:r w:rsidRPr="00E056EB">
              <w:rPr>
                <w:rFonts w:ascii="Times New Roman" w:hAnsi="Times New Roman"/>
                <w:sz w:val="18"/>
                <w:szCs w:val="18"/>
              </w:rPr>
              <w:t>1.</w:t>
            </w:r>
            <w:r w:rsidR="004823AD" w:rsidRPr="00E056EB">
              <w:rPr>
                <w:rFonts w:ascii="Times New Roman" w:hAnsi="Times New Roman"/>
                <w:sz w:val="18"/>
                <w:szCs w:val="18"/>
              </w:rPr>
              <w:t>23</w:t>
            </w:r>
            <w:r w:rsidR="0038293E" w:rsidRPr="00E056EB">
              <w:rPr>
                <w:rFonts w:ascii="Times New Roman" w:hAnsi="Times New Roman"/>
                <w:sz w:val="18"/>
                <w:szCs w:val="18"/>
              </w:rPr>
              <w:t>1</w:t>
            </w:r>
            <w:r w:rsidRPr="00E056EB">
              <w:rPr>
                <w:rFonts w:ascii="Times New Roman" w:hAnsi="Times New Roman"/>
                <w:sz w:val="18"/>
                <w:szCs w:val="18"/>
              </w:rPr>
              <w:t>.</w:t>
            </w:r>
            <w:r w:rsidR="0038293E" w:rsidRPr="00E056EB">
              <w:rPr>
                <w:rFonts w:ascii="Times New Roman" w:hAnsi="Times New Roman"/>
                <w:sz w:val="18"/>
                <w:szCs w:val="18"/>
              </w:rPr>
              <w:t>242</w:t>
            </w:r>
            <w:r w:rsidRPr="00E056EB">
              <w:rPr>
                <w:rFonts w:ascii="Times New Roman" w:hAnsi="Times New Roman"/>
                <w:sz w:val="18"/>
                <w:szCs w:val="18"/>
              </w:rPr>
              <w:t>.</w:t>
            </w:r>
            <w:r w:rsidR="0038293E" w:rsidRPr="00E056EB">
              <w:rPr>
                <w:rFonts w:ascii="Times New Roman" w:hAnsi="Times New Roman"/>
                <w:sz w:val="18"/>
                <w:szCs w:val="18"/>
              </w:rPr>
              <w:t>9</w:t>
            </w:r>
            <w:r w:rsidR="004823AD" w:rsidRPr="00E056EB">
              <w:rPr>
                <w:rFonts w:ascii="Times New Roman" w:hAnsi="Times New Roman"/>
                <w:sz w:val="18"/>
                <w:szCs w:val="18"/>
              </w:rPr>
              <w:t>41</w:t>
            </w: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0A87AAC8" w:rsidR="00657C35" w:rsidRPr="00E056EB" w:rsidRDefault="004823AD" w:rsidP="00657C35">
            <w:pPr>
              <w:jc w:val="center"/>
              <w:rPr>
                <w:rFonts w:ascii="Times New Roman" w:hAnsi="Times New Roman"/>
                <w:sz w:val="18"/>
                <w:szCs w:val="18"/>
              </w:rPr>
            </w:pPr>
            <w:r w:rsidRPr="00E056EB">
              <w:rPr>
                <w:rFonts w:ascii="Times New Roman" w:hAnsi="Times New Roman"/>
                <w:sz w:val="18"/>
                <w:szCs w:val="18"/>
              </w:rPr>
              <w:t>2</w:t>
            </w:r>
            <w:r w:rsidR="00657C35" w:rsidRPr="00E056EB">
              <w:rPr>
                <w:rFonts w:ascii="Times New Roman" w:hAnsi="Times New Roman"/>
                <w:sz w:val="18"/>
                <w:szCs w:val="18"/>
              </w:rPr>
              <w:t>.</w:t>
            </w:r>
            <w:r w:rsidRPr="00E056EB">
              <w:rPr>
                <w:rFonts w:ascii="Times New Roman" w:hAnsi="Times New Roman"/>
                <w:sz w:val="18"/>
                <w:szCs w:val="18"/>
              </w:rPr>
              <w:t>857</w:t>
            </w:r>
            <w:r w:rsidR="002F1A21" w:rsidRPr="00E056EB">
              <w:rPr>
                <w:rFonts w:ascii="Times New Roman" w:hAnsi="Times New Roman"/>
                <w:sz w:val="18"/>
                <w:szCs w:val="18"/>
              </w:rPr>
              <w:t>.</w:t>
            </w:r>
            <w:r w:rsidRPr="00E056EB">
              <w:rPr>
                <w:rFonts w:ascii="Times New Roman" w:hAnsi="Times New Roman"/>
                <w:sz w:val="18"/>
                <w:szCs w:val="18"/>
              </w:rPr>
              <w:t>266</w:t>
            </w:r>
            <w:r w:rsidR="00657C35" w:rsidRPr="00E056EB">
              <w:rPr>
                <w:rFonts w:ascii="Times New Roman" w:hAnsi="Times New Roman"/>
                <w:sz w:val="18"/>
                <w:szCs w:val="18"/>
              </w:rPr>
              <w:t>.</w:t>
            </w:r>
            <w:r w:rsidRPr="00E056EB">
              <w:rPr>
                <w:rFonts w:ascii="Times New Roman" w:hAnsi="Times New Roman"/>
                <w:sz w:val="18"/>
                <w:szCs w:val="18"/>
              </w:rPr>
              <w:t>600</w:t>
            </w: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 xml:space="preserve">301028 </w:t>
            </w:r>
            <w:proofErr w:type="gramStart"/>
            <w:r w:rsidRPr="00C70405">
              <w:rPr>
                <w:rFonts w:ascii="Times New Roman" w:hAnsi="Times New Roman"/>
                <w:sz w:val="18"/>
                <w:szCs w:val="18"/>
              </w:rPr>
              <w:t>Servicio</w:t>
            </w:r>
            <w:proofErr w:type="gramEnd"/>
            <w:r w:rsidRPr="00C70405">
              <w:rPr>
                <w:rFonts w:ascii="Times New Roman" w:hAnsi="Times New Roman"/>
                <w:sz w:val="18"/>
                <w:szCs w:val="18"/>
              </w:rPr>
              <w:t xml:space="preserve">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36C45CCB" w:rsidR="00657C35" w:rsidRPr="00E056EB" w:rsidRDefault="004823AD" w:rsidP="00657C35">
            <w:pPr>
              <w:jc w:val="center"/>
              <w:rPr>
                <w:rFonts w:ascii="Times New Roman" w:hAnsi="Times New Roman"/>
                <w:sz w:val="18"/>
                <w:szCs w:val="18"/>
              </w:rPr>
            </w:pPr>
            <w:r w:rsidRPr="00E056EB">
              <w:rPr>
                <w:rFonts w:ascii="Times New Roman" w:hAnsi="Times New Roman"/>
                <w:sz w:val="18"/>
                <w:szCs w:val="18"/>
              </w:rPr>
              <w:t>4</w:t>
            </w:r>
            <w:r w:rsidR="00657C35" w:rsidRPr="00E056EB">
              <w:rPr>
                <w:rFonts w:ascii="Times New Roman" w:hAnsi="Times New Roman"/>
                <w:sz w:val="18"/>
                <w:szCs w:val="18"/>
              </w:rPr>
              <w:t>.</w:t>
            </w:r>
            <w:r w:rsidRPr="00E056EB">
              <w:rPr>
                <w:rFonts w:ascii="Times New Roman" w:hAnsi="Times New Roman"/>
                <w:sz w:val="18"/>
                <w:szCs w:val="18"/>
              </w:rPr>
              <w:t>052</w:t>
            </w:r>
            <w:r w:rsidR="00657C35" w:rsidRPr="00E056EB">
              <w:rPr>
                <w:rFonts w:ascii="Times New Roman" w:hAnsi="Times New Roman"/>
                <w:sz w:val="18"/>
                <w:szCs w:val="18"/>
              </w:rPr>
              <w:t>.</w:t>
            </w:r>
            <w:r w:rsidRPr="00E056EB">
              <w:rPr>
                <w:rFonts w:ascii="Times New Roman" w:hAnsi="Times New Roman"/>
                <w:sz w:val="18"/>
                <w:szCs w:val="18"/>
              </w:rPr>
              <w:t>834</w:t>
            </w:r>
            <w:r w:rsidR="00657C35" w:rsidRPr="00E056EB">
              <w:rPr>
                <w:rFonts w:ascii="Times New Roman" w:hAnsi="Times New Roman"/>
                <w:sz w:val="18"/>
                <w:szCs w:val="18"/>
              </w:rPr>
              <w:t>.</w:t>
            </w:r>
            <w:r w:rsidRPr="00E056EB">
              <w:rPr>
                <w:rFonts w:ascii="Times New Roman" w:hAnsi="Times New Roman"/>
                <w:sz w:val="18"/>
                <w:szCs w:val="18"/>
              </w:rPr>
              <w:t>533</w:t>
            </w:r>
          </w:p>
        </w:tc>
      </w:tr>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EA19B5" w:rsidRPr="00C7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C70405" w:rsidRDefault="00EA19B5" w:rsidP="00894BC0">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C70405" w:rsidRDefault="00EA19B5" w:rsidP="00EA19B5">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0DAFA13B" w:rsidR="00EA19B5" w:rsidRPr="00E056EB" w:rsidRDefault="00962B2E" w:rsidP="00EA19B5">
            <w:pPr>
              <w:jc w:val="center"/>
              <w:rPr>
                <w:rFonts w:ascii="Times New Roman" w:hAnsi="Times New Roman"/>
                <w:sz w:val="22"/>
                <w:szCs w:val="22"/>
              </w:rPr>
            </w:pPr>
            <w:r w:rsidRPr="00E056EB">
              <w:rPr>
                <w:rFonts w:ascii="Times New Roman" w:hAnsi="Times New Roman"/>
                <w:sz w:val="22"/>
                <w:szCs w:val="22"/>
              </w:rPr>
              <w:t>2</w:t>
            </w:r>
            <w:r w:rsidR="00EA19B5" w:rsidRPr="00E056EB">
              <w:rPr>
                <w:rFonts w:ascii="Times New Roman" w:hAnsi="Times New Roman"/>
                <w:sz w:val="22"/>
                <w:szCs w:val="22"/>
              </w:rPr>
              <w:t>.</w:t>
            </w:r>
            <w:r w:rsidR="00C54AAC" w:rsidRPr="00E056EB">
              <w:rPr>
                <w:rFonts w:ascii="Times New Roman" w:hAnsi="Times New Roman"/>
                <w:sz w:val="22"/>
                <w:szCs w:val="22"/>
              </w:rPr>
              <w:t>728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3BE7BCC" w:rsidR="00EA19B5" w:rsidRPr="00E056EB" w:rsidRDefault="00E30A29" w:rsidP="00EA19B5">
            <w:pPr>
              <w:jc w:val="center"/>
              <w:rPr>
                <w:rFonts w:ascii="Times New Roman" w:hAnsi="Times New Roman"/>
                <w:sz w:val="22"/>
                <w:szCs w:val="22"/>
              </w:rPr>
            </w:pPr>
            <w:r w:rsidRPr="00E056EB">
              <w:rPr>
                <w:rFonts w:ascii="Times New Roman" w:hAnsi="Times New Roman"/>
                <w:sz w:val="22"/>
                <w:szCs w:val="22"/>
              </w:rPr>
              <w:t>1.920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793A6035" w:rsidR="00EA19B5" w:rsidRPr="00E056EB" w:rsidRDefault="0038293E" w:rsidP="00EA19B5">
            <w:pPr>
              <w:jc w:val="center"/>
              <w:rPr>
                <w:rFonts w:ascii="Times New Roman" w:hAnsi="Times New Roman"/>
                <w:sz w:val="22"/>
                <w:szCs w:val="22"/>
              </w:rPr>
            </w:pPr>
            <w:r w:rsidRPr="00E056EB">
              <w:rPr>
                <w:rFonts w:ascii="Times New Roman" w:hAnsi="Times New Roman"/>
                <w:sz w:val="22"/>
                <w:szCs w:val="22"/>
              </w:rPr>
              <w:t>7.870</w:t>
            </w:r>
          </w:p>
        </w:tc>
      </w:tr>
      <w:tr w:rsidR="00EA19B5" w:rsidRPr="00C7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1A0142B6" w:rsidR="00EA19B5" w:rsidRPr="00E056EB" w:rsidRDefault="00C54AAC" w:rsidP="00EA19B5">
            <w:pPr>
              <w:jc w:val="center"/>
              <w:rPr>
                <w:rFonts w:ascii="Times New Roman" w:hAnsi="Times New Roman"/>
                <w:sz w:val="22"/>
                <w:szCs w:val="22"/>
              </w:rPr>
            </w:pPr>
            <w:r w:rsidRPr="00E056EB">
              <w:rPr>
                <w:rFonts w:ascii="Times New Roman" w:hAnsi="Times New Roman"/>
                <w:sz w:val="22"/>
                <w:szCs w:val="22"/>
              </w:rPr>
              <w:t>873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6210D7E9" w:rsidR="00EA19B5" w:rsidRPr="00E056EB" w:rsidRDefault="00E30A29" w:rsidP="00EA19B5">
            <w:pPr>
              <w:jc w:val="center"/>
              <w:rPr>
                <w:rFonts w:ascii="Times New Roman" w:hAnsi="Times New Roman"/>
                <w:sz w:val="22"/>
                <w:szCs w:val="22"/>
              </w:rPr>
            </w:pPr>
            <w:r w:rsidRPr="00E056EB">
              <w:rPr>
                <w:rFonts w:ascii="Times New Roman" w:hAnsi="Times New Roman"/>
                <w:sz w:val="22"/>
                <w:szCs w:val="22"/>
              </w:rPr>
              <w:t>777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42459D02"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2.</w:t>
            </w:r>
            <w:r w:rsidR="0038293E" w:rsidRPr="00E056EB">
              <w:rPr>
                <w:rFonts w:ascii="Times New Roman" w:hAnsi="Times New Roman"/>
                <w:sz w:val="22"/>
                <w:szCs w:val="22"/>
              </w:rPr>
              <w:t>972</w:t>
            </w:r>
          </w:p>
        </w:tc>
      </w:tr>
      <w:tr w:rsidR="00EA19B5" w:rsidRPr="00C7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1925CF74" w:rsidR="00EA19B5" w:rsidRPr="00E056EB" w:rsidRDefault="00C54AAC" w:rsidP="00EA19B5">
            <w:pPr>
              <w:jc w:val="center"/>
              <w:rPr>
                <w:rFonts w:ascii="Times New Roman" w:hAnsi="Times New Roman"/>
                <w:sz w:val="22"/>
                <w:szCs w:val="22"/>
              </w:rPr>
            </w:pPr>
            <w:r w:rsidRPr="00E056EB">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00274557" w:rsidR="00EA19B5" w:rsidRPr="00E056EB" w:rsidRDefault="00E30A29" w:rsidP="00EA19B5">
            <w:pPr>
              <w:jc w:val="center"/>
              <w:rPr>
                <w:rFonts w:ascii="Times New Roman" w:hAnsi="Times New Roman"/>
                <w:sz w:val="22"/>
                <w:szCs w:val="22"/>
              </w:rPr>
            </w:pPr>
            <w:r w:rsidRPr="00E056EB">
              <w:rPr>
                <w:rFonts w:ascii="Times New Roman" w:hAnsi="Times New Roman"/>
                <w:sz w:val="22"/>
                <w:szCs w:val="22"/>
              </w:rPr>
              <w:t>347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7AABC806" w:rsidR="00EA19B5" w:rsidRPr="00E056EB" w:rsidRDefault="0038293E" w:rsidP="00EA19B5">
            <w:pPr>
              <w:jc w:val="center"/>
              <w:rPr>
                <w:rFonts w:ascii="Times New Roman" w:hAnsi="Times New Roman"/>
                <w:sz w:val="22"/>
                <w:szCs w:val="22"/>
              </w:rPr>
            </w:pPr>
            <w:r w:rsidRPr="00E056EB">
              <w:rPr>
                <w:rFonts w:ascii="Times New Roman" w:hAnsi="Times New Roman"/>
                <w:sz w:val="22"/>
                <w:szCs w:val="22"/>
              </w:rPr>
              <w:t>1.212</w:t>
            </w:r>
          </w:p>
        </w:tc>
      </w:tr>
      <w:tr w:rsidR="00EA19B5" w:rsidRPr="00C70405"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04642AFC" w:rsidR="00EA19B5" w:rsidRPr="00E056EB" w:rsidRDefault="00C54AAC" w:rsidP="00EA19B5">
            <w:pPr>
              <w:jc w:val="center"/>
              <w:rPr>
                <w:rFonts w:ascii="Times New Roman" w:hAnsi="Times New Roman"/>
                <w:sz w:val="22"/>
                <w:szCs w:val="22"/>
              </w:rPr>
            </w:pPr>
            <w:r w:rsidRPr="00E056EB">
              <w:rPr>
                <w:rFonts w:ascii="Times New Roman" w:hAnsi="Times New Roman"/>
                <w:sz w:val="22"/>
                <w:szCs w:val="22"/>
              </w:rPr>
              <w:t>691</w:t>
            </w:r>
          </w:p>
        </w:tc>
        <w:tc>
          <w:tcPr>
            <w:tcW w:w="382" w:type="pct"/>
            <w:tcBorders>
              <w:top w:val="nil"/>
              <w:left w:val="nil"/>
              <w:bottom w:val="single" w:sz="4" w:space="0" w:color="000000"/>
              <w:right w:val="single" w:sz="4" w:space="0" w:color="000000"/>
            </w:tcBorders>
            <w:shd w:val="clear" w:color="auto" w:fill="FFFFFF"/>
            <w:vAlign w:val="center"/>
          </w:tcPr>
          <w:p w14:paraId="6621A9C4" w14:textId="554E6013" w:rsidR="00EA19B5" w:rsidRPr="00E056EB" w:rsidRDefault="00E30A29" w:rsidP="00EA19B5">
            <w:pPr>
              <w:jc w:val="center"/>
              <w:rPr>
                <w:rFonts w:ascii="Times New Roman" w:hAnsi="Times New Roman"/>
                <w:sz w:val="22"/>
                <w:szCs w:val="22"/>
              </w:rPr>
            </w:pPr>
            <w:r w:rsidRPr="00E056EB">
              <w:rPr>
                <w:rFonts w:ascii="Times New Roman" w:hAnsi="Times New Roman"/>
                <w:sz w:val="22"/>
                <w:szCs w:val="22"/>
              </w:rPr>
              <w:t>884</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10612431"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3.053</w:t>
            </w:r>
          </w:p>
        </w:tc>
      </w:tr>
      <w:tr w:rsidR="00EA19B5" w:rsidRPr="00C70405"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378CD9B" w:rsidR="00EA19B5" w:rsidRPr="00E056EB" w:rsidRDefault="00C54AAC" w:rsidP="00EA19B5">
            <w:pPr>
              <w:jc w:val="center"/>
              <w:rPr>
                <w:rFonts w:ascii="Times New Roman" w:hAnsi="Times New Roman"/>
                <w:sz w:val="22"/>
                <w:szCs w:val="22"/>
              </w:rPr>
            </w:pPr>
            <w:r w:rsidRPr="00E056EB">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2263FFD4" w:rsidR="00EA19B5" w:rsidRPr="00E056EB" w:rsidRDefault="00E30A29" w:rsidP="00EA19B5">
            <w:pPr>
              <w:jc w:val="center"/>
              <w:rPr>
                <w:rFonts w:ascii="Times New Roman" w:hAnsi="Times New Roman"/>
                <w:sz w:val="22"/>
                <w:szCs w:val="22"/>
              </w:rPr>
            </w:pPr>
            <w:r w:rsidRPr="00E056EB">
              <w:rPr>
                <w:rFonts w:ascii="Times New Roman" w:hAnsi="Times New Roman"/>
                <w:sz w:val="22"/>
                <w:szCs w:val="22"/>
              </w:rPr>
              <w:t>1.198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0D26A1FA" w:rsidR="00EA19B5" w:rsidRPr="00E056EB" w:rsidRDefault="00EA19B5" w:rsidP="00EA19B5">
            <w:pPr>
              <w:jc w:val="center"/>
              <w:rPr>
                <w:rFonts w:ascii="Times New Roman" w:hAnsi="Times New Roman"/>
                <w:sz w:val="22"/>
                <w:szCs w:val="22"/>
              </w:rPr>
            </w:pPr>
            <w:r w:rsidRPr="00E056EB">
              <w:rPr>
                <w:rFonts w:ascii="Times New Roman" w:hAnsi="Times New Roman"/>
                <w:sz w:val="22"/>
                <w:szCs w:val="22"/>
              </w:rPr>
              <w:t>3.654</w:t>
            </w:r>
          </w:p>
        </w:tc>
      </w:tr>
      <w:tr w:rsidR="00EA19B5" w:rsidRPr="00C7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65DED1C6" w:rsidR="00EA19B5" w:rsidRPr="00E056EB" w:rsidRDefault="00EA19B5" w:rsidP="00EA19B5">
            <w:pPr>
              <w:jc w:val="center"/>
              <w:rPr>
                <w:rFonts w:ascii="Times New Roman" w:hAnsi="Times New Roman"/>
                <w:b/>
                <w:bCs/>
                <w:sz w:val="22"/>
                <w:szCs w:val="22"/>
              </w:rPr>
            </w:pPr>
            <w:r w:rsidRPr="00E056EB">
              <w:rPr>
                <w:rFonts w:ascii="Times New Roman" w:hAnsi="Times New Roman"/>
                <w:b/>
                <w:bCs/>
                <w:sz w:val="22"/>
                <w:szCs w:val="22"/>
              </w:rPr>
              <w:t>5.</w:t>
            </w:r>
            <w:r w:rsidR="00C54AAC" w:rsidRPr="00E056EB">
              <w:rPr>
                <w:rFonts w:ascii="Times New Roman" w:hAnsi="Times New Roman"/>
                <w:b/>
                <w:bCs/>
                <w:sz w:val="22"/>
                <w:szCs w:val="22"/>
              </w:rPr>
              <w:t>520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46557003" w:rsidR="00EA19B5" w:rsidRPr="00E056EB" w:rsidRDefault="00EA19B5" w:rsidP="00EA19B5">
            <w:pPr>
              <w:jc w:val="center"/>
              <w:rPr>
                <w:rFonts w:ascii="Times New Roman" w:hAnsi="Times New Roman"/>
                <w:b/>
                <w:bCs/>
                <w:sz w:val="22"/>
                <w:szCs w:val="22"/>
              </w:rPr>
            </w:pPr>
            <w:r w:rsidRPr="00E056EB">
              <w:rPr>
                <w:rFonts w:ascii="Times New Roman" w:hAnsi="Times New Roman"/>
                <w:b/>
                <w:bCs/>
                <w:sz w:val="22"/>
                <w:szCs w:val="22"/>
              </w:rPr>
              <w:t>5.</w:t>
            </w:r>
            <w:r w:rsidR="00E30A29" w:rsidRPr="00E056EB">
              <w:rPr>
                <w:rFonts w:ascii="Times New Roman" w:hAnsi="Times New Roman"/>
                <w:b/>
                <w:bCs/>
                <w:sz w:val="22"/>
                <w:szCs w:val="22"/>
              </w:rPr>
              <w:t>125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E056EB" w:rsidRDefault="00EA19B5" w:rsidP="00EA19B5">
            <w:pPr>
              <w:jc w:val="center"/>
              <w:rPr>
                <w:rFonts w:ascii="Times New Roman" w:hAnsi="Times New Roman"/>
                <w:b/>
                <w:bCs/>
                <w:sz w:val="22"/>
                <w:szCs w:val="22"/>
              </w:rPr>
            </w:pPr>
            <w:r w:rsidRPr="00E056EB">
              <w:rPr>
                <w:rFonts w:ascii="Times New Roman" w:hAnsi="Times New Roman"/>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5AD5C382" w:rsidR="00EA19B5" w:rsidRPr="00E056EB" w:rsidRDefault="00EA19B5" w:rsidP="00EA19B5">
            <w:pPr>
              <w:jc w:val="center"/>
              <w:rPr>
                <w:rFonts w:ascii="Times New Roman" w:hAnsi="Times New Roman"/>
                <w:b/>
                <w:bCs/>
                <w:sz w:val="22"/>
                <w:szCs w:val="22"/>
              </w:rPr>
            </w:pPr>
            <w:r w:rsidRPr="00E056EB">
              <w:rPr>
                <w:rFonts w:ascii="Times New Roman" w:hAnsi="Times New Roman"/>
                <w:b/>
                <w:bCs/>
                <w:sz w:val="22"/>
                <w:szCs w:val="22"/>
              </w:rPr>
              <w:t>1</w:t>
            </w:r>
            <w:r w:rsidR="0038293E" w:rsidRPr="00E056EB">
              <w:rPr>
                <w:rFonts w:ascii="Times New Roman" w:hAnsi="Times New Roman"/>
                <w:b/>
                <w:bCs/>
                <w:sz w:val="22"/>
                <w:szCs w:val="22"/>
              </w:rPr>
              <w:t>8</w:t>
            </w:r>
            <w:r w:rsidRPr="00E056EB">
              <w:rPr>
                <w:rFonts w:ascii="Times New Roman" w:hAnsi="Times New Roman"/>
                <w:b/>
                <w:bCs/>
                <w:sz w:val="22"/>
                <w:szCs w:val="22"/>
              </w:rPr>
              <w:t>.</w:t>
            </w:r>
            <w:r w:rsidR="0038293E" w:rsidRPr="00E056EB">
              <w:rPr>
                <w:rFonts w:ascii="Times New Roman" w:hAnsi="Times New Roman"/>
                <w:b/>
                <w:bCs/>
                <w:sz w:val="22"/>
                <w:szCs w:val="22"/>
              </w:rPr>
              <w:t>982</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EA19B5" w:rsidRPr="004847B7" w14:paraId="0A626327" w14:textId="77777777" w:rsidTr="00C70405">
        <w:trPr>
          <w:trHeight w:val="20"/>
        </w:trPr>
        <w:tc>
          <w:tcPr>
            <w:tcW w:w="1143" w:type="pct"/>
            <w:vMerge w:val="restart"/>
            <w:shd w:val="clear" w:color="auto" w:fill="auto"/>
            <w:vAlign w:val="center"/>
          </w:tcPr>
          <w:p w14:paraId="00000555" w14:textId="15D20217" w:rsidR="00EA19B5" w:rsidRPr="004847B7" w:rsidRDefault="00EA19B5" w:rsidP="00EA19B5">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EA19B5" w:rsidRPr="004847B7" w:rsidRDefault="00EA19B5" w:rsidP="00EA19B5">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EA19B5" w:rsidRPr="004847B7" w:rsidRDefault="00EA19B5" w:rsidP="00EA19B5">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804CE0B" w:rsidR="00EA19B5" w:rsidRPr="00DC5591" w:rsidRDefault="00EA19B5" w:rsidP="00EA19B5">
            <w:pPr>
              <w:jc w:val="center"/>
              <w:rPr>
                <w:rFonts w:ascii="Times New Roman" w:hAnsi="Times New Roman"/>
                <w:sz w:val="20"/>
              </w:rPr>
            </w:pPr>
            <w:r w:rsidRPr="00DC5591">
              <w:rPr>
                <w:rFonts w:ascii="Times New Roman" w:hAnsi="Times New Roman"/>
                <w:sz w:val="20"/>
              </w:rPr>
              <w:t>1.</w:t>
            </w:r>
            <w:r w:rsidR="004847B7" w:rsidRPr="00DC5591">
              <w:rPr>
                <w:rFonts w:ascii="Times New Roman" w:hAnsi="Times New Roman"/>
                <w:sz w:val="20"/>
              </w:rPr>
              <w:t>6</w:t>
            </w:r>
            <w:r w:rsidR="00111F24" w:rsidRPr="00DC5591">
              <w:rPr>
                <w:rFonts w:ascii="Times New Roman" w:hAnsi="Times New Roman"/>
                <w:sz w:val="20"/>
              </w:rPr>
              <w:t>90</w:t>
            </w:r>
          </w:p>
        </w:tc>
        <w:tc>
          <w:tcPr>
            <w:tcW w:w="381" w:type="pct"/>
            <w:shd w:val="clear" w:color="auto" w:fill="FFFFFF"/>
            <w:vAlign w:val="center"/>
          </w:tcPr>
          <w:p w14:paraId="00000559" w14:textId="17E59D3C" w:rsidR="00EA19B5" w:rsidRPr="00DC5591" w:rsidRDefault="002506D2" w:rsidP="00EA19B5">
            <w:pPr>
              <w:jc w:val="center"/>
              <w:rPr>
                <w:rFonts w:ascii="Times New Roman" w:hAnsi="Times New Roman"/>
                <w:sz w:val="20"/>
              </w:rPr>
            </w:pPr>
            <w:r w:rsidRPr="00DC5591">
              <w:rPr>
                <w:rFonts w:ascii="Times New Roman" w:hAnsi="Times New Roman"/>
                <w:sz w:val="20"/>
              </w:rPr>
              <w:t>1.889</w:t>
            </w:r>
          </w:p>
        </w:tc>
        <w:tc>
          <w:tcPr>
            <w:tcW w:w="382" w:type="pct"/>
            <w:shd w:val="clear" w:color="auto" w:fill="FFFFFF"/>
            <w:vAlign w:val="center"/>
          </w:tcPr>
          <w:p w14:paraId="0000055A" w14:textId="07C8DAEE" w:rsidR="00EA19B5" w:rsidRPr="00DC5591" w:rsidRDefault="00EA19B5" w:rsidP="00EA19B5">
            <w:pPr>
              <w:jc w:val="center"/>
              <w:rPr>
                <w:rFonts w:ascii="Times New Roman" w:hAnsi="Times New Roman"/>
                <w:sz w:val="20"/>
              </w:rPr>
            </w:pPr>
            <w:r w:rsidRPr="00DC5591">
              <w:rPr>
                <w:rFonts w:ascii="Times New Roman" w:hAnsi="Times New Roman"/>
                <w:sz w:val="20"/>
              </w:rPr>
              <w:t>846</w:t>
            </w:r>
          </w:p>
        </w:tc>
        <w:tc>
          <w:tcPr>
            <w:tcW w:w="420" w:type="pct"/>
            <w:shd w:val="clear" w:color="auto" w:fill="FFFFFF"/>
            <w:vAlign w:val="center"/>
          </w:tcPr>
          <w:p w14:paraId="0000055B" w14:textId="2856961A" w:rsidR="00EA19B5" w:rsidRPr="00DC5591" w:rsidRDefault="00172E8A" w:rsidP="00EA19B5">
            <w:pPr>
              <w:jc w:val="center"/>
              <w:rPr>
                <w:rFonts w:ascii="Times New Roman" w:hAnsi="Times New Roman"/>
                <w:sz w:val="20"/>
              </w:rPr>
            </w:pPr>
            <w:r w:rsidRPr="00DC5591">
              <w:rPr>
                <w:rFonts w:ascii="Times New Roman" w:hAnsi="Times New Roman"/>
                <w:sz w:val="20"/>
              </w:rPr>
              <w:t>6.644</w:t>
            </w:r>
          </w:p>
        </w:tc>
      </w:tr>
      <w:tr w:rsidR="00EA19B5" w:rsidRPr="004847B7" w14:paraId="570AE9FE" w14:textId="77777777" w:rsidTr="00C70405">
        <w:trPr>
          <w:trHeight w:val="20"/>
        </w:trPr>
        <w:tc>
          <w:tcPr>
            <w:tcW w:w="1143" w:type="pct"/>
            <w:vMerge/>
            <w:shd w:val="clear" w:color="auto" w:fill="auto"/>
            <w:vAlign w:val="center"/>
          </w:tcPr>
          <w:p w14:paraId="5580588C" w14:textId="77777777" w:rsidR="00EA19B5" w:rsidRPr="004847B7" w:rsidRDefault="00EA19B5" w:rsidP="00EA19B5">
            <w:pPr>
              <w:jc w:val="left"/>
              <w:rPr>
                <w:rFonts w:ascii="Times New Roman" w:hAnsi="Times New Roman"/>
                <w:sz w:val="20"/>
              </w:rPr>
            </w:pPr>
          </w:p>
        </w:tc>
        <w:tc>
          <w:tcPr>
            <w:tcW w:w="1419" w:type="pct"/>
            <w:vAlign w:val="center"/>
          </w:tcPr>
          <w:p w14:paraId="37D1D3BE" w14:textId="6DFBB2B2"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EA19B5" w:rsidRPr="004847B7" w:rsidRDefault="00EA19B5" w:rsidP="00EA19B5">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12BBA7B9" w:rsidR="00EA19B5" w:rsidRPr="00DC5591" w:rsidRDefault="00EA19B5" w:rsidP="00EA19B5">
            <w:pPr>
              <w:jc w:val="center"/>
              <w:rPr>
                <w:rFonts w:ascii="Times New Roman" w:hAnsi="Times New Roman"/>
                <w:sz w:val="20"/>
              </w:rPr>
            </w:pPr>
            <w:r w:rsidRPr="00DC5591">
              <w:rPr>
                <w:rFonts w:ascii="Times New Roman" w:hAnsi="Times New Roman"/>
                <w:sz w:val="20"/>
              </w:rPr>
              <w:t>1.0</w:t>
            </w:r>
            <w:r w:rsidR="00111F24" w:rsidRPr="00DC5591">
              <w:rPr>
                <w:rFonts w:ascii="Times New Roman" w:hAnsi="Times New Roman"/>
                <w:sz w:val="20"/>
              </w:rPr>
              <w:t>22</w:t>
            </w:r>
          </w:p>
        </w:tc>
        <w:tc>
          <w:tcPr>
            <w:tcW w:w="381" w:type="pct"/>
            <w:shd w:val="clear" w:color="auto" w:fill="FFFFFF"/>
            <w:vAlign w:val="center"/>
          </w:tcPr>
          <w:p w14:paraId="47207BED" w14:textId="48E8B856" w:rsidR="00EA19B5" w:rsidRPr="00DC5591" w:rsidRDefault="002506D2" w:rsidP="00EA19B5">
            <w:pPr>
              <w:jc w:val="center"/>
              <w:rPr>
                <w:rFonts w:ascii="Times New Roman" w:hAnsi="Times New Roman"/>
                <w:sz w:val="20"/>
              </w:rPr>
            </w:pPr>
            <w:r w:rsidRPr="00DC5591">
              <w:rPr>
                <w:rFonts w:ascii="Times New Roman" w:hAnsi="Times New Roman"/>
                <w:sz w:val="20"/>
              </w:rPr>
              <w:t>14</w:t>
            </w:r>
          </w:p>
        </w:tc>
        <w:tc>
          <w:tcPr>
            <w:tcW w:w="382" w:type="pct"/>
            <w:shd w:val="clear" w:color="auto" w:fill="FFFFFF"/>
            <w:vAlign w:val="center"/>
          </w:tcPr>
          <w:p w14:paraId="443F043F" w14:textId="091F728C" w:rsidR="00EA19B5" w:rsidRPr="00DC5591" w:rsidRDefault="00EA19B5" w:rsidP="00EA19B5">
            <w:pPr>
              <w:jc w:val="center"/>
              <w:rPr>
                <w:rFonts w:ascii="Times New Roman" w:hAnsi="Times New Roman"/>
                <w:sz w:val="20"/>
              </w:rPr>
            </w:pPr>
            <w:r w:rsidRPr="00DC5591">
              <w:rPr>
                <w:rFonts w:ascii="Times New Roman" w:hAnsi="Times New Roman"/>
                <w:sz w:val="20"/>
              </w:rPr>
              <w:t>303</w:t>
            </w:r>
          </w:p>
        </w:tc>
        <w:tc>
          <w:tcPr>
            <w:tcW w:w="420" w:type="pct"/>
            <w:shd w:val="clear" w:color="auto" w:fill="FFFFFF"/>
            <w:vAlign w:val="center"/>
          </w:tcPr>
          <w:p w14:paraId="4092B3DD" w14:textId="5576D24C" w:rsidR="00EA19B5" w:rsidRPr="00DC5591" w:rsidRDefault="00172E8A" w:rsidP="00EA19B5">
            <w:pPr>
              <w:jc w:val="center"/>
              <w:rPr>
                <w:rFonts w:ascii="Times New Roman" w:hAnsi="Times New Roman"/>
                <w:sz w:val="20"/>
              </w:rPr>
            </w:pPr>
            <w:r w:rsidRPr="00DC5591">
              <w:rPr>
                <w:rFonts w:ascii="Times New Roman" w:hAnsi="Times New Roman"/>
                <w:sz w:val="20"/>
              </w:rPr>
              <w:t>1.344</w:t>
            </w:r>
          </w:p>
        </w:tc>
      </w:tr>
      <w:tr w:rsidR="00EA19B5" w:rsidRPr="004847B7" w14:paraId="3018D40E" w14:textId="77777777" w:rsidTr="00C70405">
        <w:trPr>
          <w:trHeight w:val="20"/>
        </w:trPr>
        <w:tc>
          <w:tcPr>
            <w:tcW w:w="1143" w:type="pct"/>
            <w:vMerge/>
            <w:shd w:val="clear" w:color="auto" w:fill="auto"/>
            <w:vAlign w:val="center"/>
          </w:tcPr>
          <w:p w14:paraId="037D959F" w14:textId="77777777" w:rsidR="00EA19B5" w:rsidRPr="004847B7" w:rsidRDefault="00EA19B5" w:rsidP="00EA19B5">
            <w:pPr>
              <w:jc w:val="left"/>
              <w:rPr>
                <w:rFonts w:ascii="Times New Roman" w:hAnsi="Times New Roman"/>
                <w:sz w:val="20"/>
              </w:rPr>
            </w:pPr>
          </w:p>
        </w:tc>
        <w:tc>
          <w:tcPr>
            <w:tcW w:w="1419" w:type="pct"/>
            <w:vAlign w:val="center"/>
          </w:tcPr>
          <w:p w14:paraId="03E1B1AF" w14:textId="2920C9D1" w:rsidR="00EA19B5" w:rsidRPr="004847B7" w:rsidRDefault="00EA19B5" w:rsidP="00EA19B5">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EA19B5" w:rsidRPr="004847B7" w:rsidRDefault="00EA19B5" w:rsidP="00EA19B5">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EA19B5" w:rsidRPr="00DC5591" w:rsidRDefault="00111F24" w:rsidP="00EA19B5">
            <w:pPr>
              <w:jc w:val="center"/>
              <w:rPr>
                <w:rFonts w:ascii="Times New Roman" w:hAnsi="Times New Roman"/>
                <w:sz w:val="20"/>
              </w:rPr>
            </w:pPr>
            <w:r w:rsidRPr="00DC5591">
              <w:rPr>
                <w:rFonts w:ascii="Times New Roman" w:hAnsi="Times New Roman"/>
                <w:sz w:val="20"/>
              </w:rPr>
              <w:t>16</w:t>
            </w:r>
          </w:p>
        </w:tc>
        <w:tc>
          <w:tcPr>
            <w:tcW w:w="381" w:type="pct"/>
            <w:shd w:val="clear" w:color="auto" w:fill="FFFFFF"/>
            <w:vAlign w:val="center"/>
          </w:tcPr>
          <w:p w14:paraId="25A22F6F" w14:textId="24F92CD1" w:rsidR="00EA19B5" w:rsidRPr="00DC5591" w:rsidRDefault="002506D2" w:rsidP="00EA19B5">
            <w:pPr>
              <w:jc w:val="center"/>
              <w:rPr>
                <w:rFonts w:ascii="Times New Roman" w:hAnsi="Times New Roman"/>
                <w:sz w:val="20"/>
              </w:rPr>
            </w:pPr>
            <w:r w:rsidRPr="00DC5591">
              <w:rPr>
                <w:rFonts w:ascii="Times New Roman" w:hAnsi="Times New Roman"/>
                <w:sz w:val="20"/>
              </w:rPr>
              <w:t>16</w:t>
            </w:r>
          </w:p>
        </w:tc>
        <w:tc>
          <w:tcPr>
            <w:tcW w:w="382" w:type="pct"/>
            <w:shd w:val="clear" w:color="auto" w:fill="FFFFFF"/>
            <w:vAlign w:val="center"/>
          </w:tcPr>
          <w:p w14:paraId="5A026D72" w14:textId="088C0379" w:rsidR="00EA19B5" w:rsidRPr="00DC5591" w:rsidRDefault="00EA19B5" w:rsidP="00EA19B5">
            <w:pPr>
              <w:jc w:val="center"/>
              <w:rPr>
                <w:rFonts w:ascii="Times New Roman" w:hAnsi="Times New Roman"/>
                <w:sz w:val="20"/>
              </w:rPr>
            </w:pPr>
            <w:r w:rsidRPr="00DC5591">
              <w:rPr>
                <w:rFonts w:ascii="Times New Roman" w:hAnsi="Times New Roman"/>
                <w:sz w:val="20"/>
              </w:rPr>
              <w:t>8</w:t>
            </w:r>
          </w:p>
        </w:tc>
        <w:tc>
          <w:tcPr>
            <w:tcW w:w="420" w:type="pct"/>
            <w:shd w:val="clear" w:color="auto" w:fill="FFFFFF"/>
            <w:vAlign w:val="center"/>
          </w:tcPr>
          <w:p w14:paraId="2A2D8A21" w14:textId="3148E970" w:rsidR="00EA19B5" w:rsidRPr="00DC5591" w:rsidRDefault="00172E8A" w:rsidP="00EA19B5">
            <w:pPr>
              <w:jc w:val="center"/>
              <w:rPr>
                <w:rFonts w:ascii="Times New Roman" w:hAnsi="Times New Roman"/>
                <w:sz w:val="20"/>
              </w:rPr>
            </w:pPr>
            <w:r w:rsidRPr="00DC5591">
              <w:rPr>
                <w:rFonts w:ascii="Times New Roman" w:hAnsi="Times New Roman"/>
                <w:sz w:val="20"/>
              </w:rPr>
              <w:t>90</w:t>
            </w:r>
          </w:p>
        </w:tc>
      </w:tr>
      <w:tr w:rsidR="00EA19B5" w:rsidRPr="004847B7" w14:paraId="5D57AC82" w14:textId="77777777" w:rsidTr="00C70405">
        <w:trPr>
          <w:trHeight w:val="20"/>
        </w:trPr>
        <w:tc>
          <w:tcPr>
            <w:tcW w:w="1143" w:type="pct"/>
            <w:vMerge w:val="restart"/>
            <w:shd w:val="clear" w:color="auto" w:fill="auto"/>
            <w:vAlign w:val="center"/>
          </w:tcPr>
          <w:p w14:paraId="01B9D1C0" w14:textId="154DF938" w:rsidR="00EA19B5" w:rsidRPr="004847B7" w:rsidRDefault="00EA19B5" w:rsidP="00EA19B5">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EA19B5" w:rsidRPr="004847B7" w:rsidRDefault="00EA19B5" w:rsidP="00EA19B5">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EA19B5" w:rsidRPr="004847B7" w:rsidRDefault="00EA19B5" w:rsidP="00EA19B5">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15EF82DD" w:rsidR="00EA19B5" w:rsidRPr="00DC5591" w:rsidRDefault="00EC585A" w:rsidP="00EA19B5">
            <w:pPr>
              <w:jc w:val="center"/>
              <w:rPr>
                <w:rFonts w:ascii="Times New Roman" w:hAnsi="Times New Roman"/>
                <w:sz w:val="20"/>
              </w:rPr>
            </w:pPr>
            <w:r w:rsidRPr="00DC5591">
              <w:rPr>
                <w:rFonts w:ascii="Times New Roman" w:hAnsi="Times New Roman"/>
                <w:sz w:val="20"/>
              </w:rPr>
              <w:t>8</w:t>
            </w:r>
            <w:r w:rsidR="00873B95" w:rsidRPr="00DC5591">
              <w:rPr>
                <w:rFonts w:ascii="Times New Roman" w:hAnsi="Times New Roman"/>
                <w:sz w:val="20"/>
              </w:rPr>
              <w:t>73</w:t>
            </w:r>
          </w:p>
        </w:tc>
        <w:tc>
          <w:tcPr>
            <w:tcW w:w="381" w:type="pct"/>
            <w:shd w:val="clear" w:color="auto" w:fill="FFFFFF"/>
            <w:vAlign w:val="center"/>
          </w:tcPr>
          <w:p w14:paraId="6835B612" w14:textId="129B7521" w:rsidR="00EA19B5" w:rsidRPr="00DC5591" w:rsidRDefault="00CA2E7A" w:rsidP="00EA19B5">
            <w:pPr>
              <w:jc w:val="center"/>
              <w:rPr>
                <w:rFonts w:ascii="Times New Roman" w:hAnsi="Times New Roman"/>
                <w:sz w:val="20"/>
              </w:rPr>
            </w:pPr>
            <w:r w:rsidRPr="00DC5591">
              <w:rPr>
                <w:rFonts w:ascii="Times New Roman" w:hAnsi="Times New Roman"/>
                <w:sz w:val="20"/>
              </w:rPr>
              <w:t>777</w:t>
            </w:r>
          </w:p>
        </w:tc>
        <w:tc>
          <w:tcPr>
            <w:tcW w:w="382" w:type="pct"/>
            <w:shd w:val="clear" w:color="auto" w:fill="FFFFFF"/>
            <w:vAlign w:val="center"/>
          </w:tcPr>
          <w:p w14:paraId="6F96B504" w14:textId="6324DB31" w:rsidR="00EA19B5" w:rsidRPr="00DC5591" w:rsidRDefault="00EA19B5" w:rsidP="00EA19B5">
            <w:pPr>
              <w:jc w:val="center"/>
              <w:rPr>
                <w:rFonts w:ascii="Times New Roman" w:hAnsi="Times New Roman"/>
                <w:sz w:val="20"/>
              </w:rPr>
            </w:pPr>
            <w:r w:rsidRPr="00DC5591">
              <w:rPr>
                <w:rFonts w:ascii="Times New Roman" w:hAnsi="Times New Roman"/>
                <w:sz w:val="20"/>
              </w:rPr>
              <w:t>273</w:t>
            </w:r>
          </w:p>
        </w:tc>
        <w:tc>
          <w:tcPr>
            <w:tcW w:w="420" w:type="pct"/>
            <w:shd w:val="clear" w:color="auto" w:fill="FFFFFF"/>
            <w:vAlign w:val="center"/>
          </w:tcPr>
          <w:p w14:paraId="03AB4A8D" w14:textId="3B1F81E2" w:rsidR="00EA19B5" w:rsidRPr="00DC5591" w:rsidRDefault="00172E8A" w:rsidP="00EA19B5">
            <w:pPr>
              <w:jc w:val="center"/>
              <w:rPr>
                <w:rFonts w:ascii="Times New Roman" w:hAnsi="Times New Roman"/>
                <w:sz w:val="20"/>
              </w:rPr>
            </w:pPr>
            <w:r w:rsidRPr="00DC5591">
              <w:rPr>
                <w:rFonts w:ascii="Times New Roman" w:hAnsi="Times New Roman"/>
                <w:sz w:val="20"/>
              </w:rPr>
              <w:t>2.945</w:t>
            </w:r>
          </w:p>
        </w:tc>
      </w:tr>
      <w:tr w:rsidR="00EA19B5" w:rsidRPr="004847B7" w14:paraId="4628163D" w14:textId="77777777" w:rsidTr="00C70405">
        <w:trPr>
          <w:trHeight w:val="20"/>
        </w:trPr>
        <w:tc>
          <w:tcPr>
            <w:tcW w:w="1143" w:type="pct"/>
            <w:vMerge/>
            <w:shd w:val="clear" w:color="auto" w:fill="auto"/>
            <w:vAlign w:val="center"/>
          </w:tcPr>
          <w:p w14:paraId="6DCA3717" w14:textId="77777777" w:rsidR="00EA19B5" w:rsidRPr="004847B7" w:rsidRDefault="00EA19B5" w:rsidP="00EA19B5">
            <w:pPr>
              <w:jc w:val="left"/>
              <w:rPr>
                <w:rFonts w:ascii="Times New Roman" w:hAnsi="Times New Roman"/>
                <w:sz w:val="20"/>
              </w:rPr>
            </w:pPr>
          </w:p>
        </w:tc>
        <w:tc>
          <w:tcPr>
            <w:tcW w:w="1419" w:type="pct"/>
            <w:vAlign w:val="center"/>
          </w:tcPr>
          <w:p w14:paraId="01B0708F" w14:textId="26B24543"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EA19B5" w:rsidRPr="004847B7" w:rsidRDefault="00EA19B5" w:rsidP="00EA19B5">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EA19B5" w:rsidRPr="00DC5591" w:rsidRDefault="00EC585A" w:rsidP="00EA19B5">
            <w:pPr>
              <w:jc w:val="center"/>
              <w:rPr>
                <w:rFonts w:ascii="Times New Roman" w:hAnsi="Times New Roman"/>
                <w:sz w:val="20"/>
              </w:rPr>
            </w:pPr>
            <w:r w:rsidRPr="00DC5591">
              <w:rPr>
                <w:rFonts w:ascii="Times New Roman" w:hAnsi="Times New Roman"/>
                <w:sz w:val="20"/>
              </w:rPr>
              <w:t>-</w:t>
            </w:r>
          </w:p>
        </w:tc>
        <w:tc>
          <w:tcPr>
            <w:tcW w:w="381" w:type="pct"/>
            <w:shd w:val="clear" w:color="auto" w:fill="FFFFFF"/>
            <w:vAlign w:val="center"/>
          </w:tcPr>
          <w:p w14:paraId="6EB2B8B3" w14:textId="760E640E" w:rsidR="00EA19B5" w:rsidRPr="00DC5591" w:rsidRDefault="00CA2E7A" w:rsidP="00EA19B5">
            <w:pPr>
              <w:jc w:val="center"/>
              <w:rPr>
                <w:rFonts w:ascii="Times New Roman" w:hAnsi="Times New Roman"/>
                <w:sz w:val="20"/>
              </w:rPr>
            </w:pPr>
            <w:r w:rsidRPr="00DC5591">
              <w:rPr>
                <w:rFonts w:ascii="Times New Roman" w:hAnsi="Times New Roman"/>
                <w:sz w:val="20"/>
              </w:rPr>
              <w:t>-</w:t>
            </w:r>
          </w:p>
        </w:tc>
        <w:tc>
          <w:tcPr>
            <w:tcW w:w="382" w:type="pct"/>
            <w:shd w:val="clear" w:color="auto" w:fill="FFFFFF"/>
            <w:vAlign w:val="center"/>
          </w:tcPr>
          <w:p w14:paraId="5964AE73" w14:textId="2ADA65A1" w:rsidR="00EA19B5" w:rsidRPr="00DC5591" w:rsidRDefault="00EA19B5" w:rsidP="00EA19B5">
            <w:pPr>
              <w:jc w:val="center"/>
              <w:rPr>
                <w:rFonts w:ascii="Times New Roman" w:hAnsi="Times New Roman"/>
                <w:sz w:val="20"/>
              </w:rPr>
            </w:pPr>
            <w:r w:rsidRPr="00DC5591">
              <w:rPr>
                <w:rFonts w:ascii="Times New Roman" w:hAnsi="Times New Roman"/>
                <w:sz w:val="20"/>
              </w:rPr>
              <w:t>25</w:t>
            </w:r>
          </w:p>
        </w:tc>
        <w:tc>
          <w:tcPr>
            <w:tcW w:w="420" w:type="pct"/>
            <w:shd w:val="clear" w:color="auto" w:fill="FFFFFF"/>
            <w:vAlign w:val="center"/>
          </w:tcPr>
          <w:p w14:paraId="068562B3" w14:textId="3B95B388" w:rsidR="00EA19B5" w:rsidRPr="00DC5591" w:rsidRDefault="00172E8A" w:rsidP="00EA19B5">
            <w:pPr>
              <w:jc w:val="center"/>
              <w:rPr>
                <w:rFonts w:ascii="Times New Roman" w:hAnsi="Times New Roman"/>
                <w:sz w:val="20"/>
              </w:rPr>
            </w:pPr>
            <w:r w:rsidRPr="00DC5591">
              <w:rPr>
                <w:rFonts w:ascii="Times New Roman" w:hAnsi="Times New Roman"/>
                <w:sz w:val="20"/>
              </w:rPr>
              <w:t>27</w:t>
            </w:r>
          </w:p>
        </w:tc>
      </w:tr>
      <w:tr w:rsidR="00EA19B5" w:rsidRPr="004847B7" w14:paraId="3C49E04D" w14:textId="77777777" w:rsidTr="00C70405">
        <w:trPr>
          <w:trHeight w:val="20"/>
        </w:trPr>
        <w:tc>
          <w:tcPr>
            <w:tcW w:w="1143" w:type="pct"/>
            <w:vMerge w:val="restart"/>
            <w:shd w:val="clear" w:color="auto" w:fill="auto"/>
            <w:vAlign w:val="center"/>
          </w:tcPr>
          <w:p w14:paraId="0C0483F3" w14:textId="57CAEC1B" w:rsidR="00EA19B5" w:rsidRPr="004847B7" w:rsidRDefault="00EA19B5" w:rsidP="00EA19B5">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EA19B5" w:rsidRPr="004847B7" w:rsidRDefault="00EA19B5" w:rsidP="00EA19B5">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EA19B5" w:rsidRPr="004847B7" w:rsidRDefault="00EA19B5" w:rsidP="00EA19B5">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EA19B5" w:rsidRPr="00DC5591" w:rsidRDefault="00EC585A" w:rsidP="00EA19B5">
            <w:pPr>
              <w:jc w:val="center"/>
              <w:rPr>
                <w:rFonts w:ascii="Times New Roman" w:hAnsi="Times New Roman"/>
                <w:sz w:val="20"/>
              </w:rPr>
            </w:pPr>
            <w:r w:rsidRPr="00DC5591">
              <w:rPr>
                <w:rFonts w:ascii="Times New Roman" w:hAnsi="Times New Roman"/>
                <w:sz w:val="20"/>
              </w:rPr>
              <w:t>2</w:t>
            </w:r>
            <w:r w:rsidR="00873B95" w:rsidRPr="00DC5591">
              <w:rPr>
                <w:rFonts w:ascii="Times New Roman" w:hAnsi="Times New Roman"/>
                <w:sz w:val="20"/>
              </w:rPr>
              <w:t>5</w:t>
            </w:r>
            <w:r w:rsidR="008D41B0" w:rsidRPr="00DC5591">
              <w:rPr>
                <w:rFonts w:ascii="Times New Roman" w:hAnsi="Times New Roman"/>
                <w:sz w:val="20"/>
              </w:rPr>
              <w:t>8</w:t>
            </w:r>
          </w:p>
        </w:tc>
        <w:tc>
          <w:tcPr>
            <w:tcW w:w="381" w:type="pct"/>
            <w:shd w:val="clear" w:color="auto" w:fill="FFFFFF"/>
            <w:vAlign w:val="center"/>
          </w:tcPr>
          <w:p w14:paraId="14EFE6F8" w14:textId="3D40E3F1" w:rsidR="00EA19B5" w:rsidRPr="00DC5591" w:rsidRDefault="00CF21FA" w:rsidP="00EA19B5">
            <w:pPr>
              <w:jc w:val="center"/>
              <w:rPr>
                <w:rFonts w:ascii="Times New Roman" w:hAnsi="Times New Roman"/>
                <w:sz w:val="20"/>
              </w:rPr>
            </w:pPr>
            <w:r w:rsidRPr="00DC5591">
              <w:rPr>
                <w:rFonts w:ascii="Times New Roman" w:hAnsi="Times New Roman"/>
                <w:sz w:val="20"/>
              </w:rPr>
              <w:t>307</w:t>
            </w:r>
          </w:p>
        </w:tc>
        <w:tc>
          <w:tcPr>
            <w:tcW w:w="382" w:type="pct"/>
            <w:shd w:val="clear" w:color="auto" w:fill="FFFFFF"/>
            <w:vAlign w:val="center"/>
          </w:tcPr>
          <w:p w14:paraId="527C6799" w14:textId="249D8C44" w:rsidR="00EA19B5" w:rsidRPr="00DC5591" w:rsidRDefault="00EA19B5" w:rsidP="00EA19B5">
            <w:pPr>
              <w:jc w:val="center"/>
              <w:rPr>
                <w:rFonts w:ascii="Times New Roman" w:hAnsi="Times New Roman"/>
                <w:sz w:val="20"/>
              </w:rPr>
            </w:pPr>
            <w:r w:rsidRPr="00DC5591">
              <w:rPr>
                <w:rFonts w:ascii="Times New Roman" w:hAnsi="Times New Roman"/>
                <w:sz w:val="20"/>
              </w:rPr>
              <w:t>240</w:t>
            </w:r>
          </w:p>
        </w:tc>
        <w:tc>
          <w:tcPr>
            <w:tcW w:w="420" w:type="pct"/>
            <w:shd w:val="clear" w:color="auto" w:fill="FFFFFF"/>
            <w:vAlign w:val="center"/>
          </w:tcPr>
          <w:p w14:paraId="099F3892" w14:textId="42F1B5EE" w:rsidR="00EA19B5" w:rsidRPr="00DC5591" w:rsidRDefault="00172E8A" w:rsidP="00EA19B5">
            <w:pPr>
              <w:jc w:val="center"/>
              <w:rPr>
                <w:rFonts w:ascii="Times New Roman" w:hAnsi="Times New Roman"/>
                <w:sz w:val="20"/>
              </w:rPr>
            </w:pPr>
            <w:r w:rsidRPr="00DC5591">
              <w:rPr>
                <w:rFonts w:ascii="Times New Roman" w:hAnsi="Times New Roman"/>
                <w:sz w:val="20"/>
              </w:rPr>
              <w:t>1.113</w:t>
            </w:r>
          </w:p>
        </w:tc>
      </w:tr>
      <w:tr w:rsidR="00EA19B5" w:rsidRPr="004847B7" w14:paraId="2E4F4F96" w14:textId="77777777" w:rsidTr="00C70405">
        <w:trPr>
          <w:trHeight w:val="20"/>
        </w:trPr>
        <w:tc>
          <w:tcPr>
            <w:tcW w:w="1143" w:type="pct"/>
            <w:vMerge/>
            <w:shd w:val="clear" w:color="auto" w:fill="auto"/>
            <w:vAlign w:val="center"/>
          </w:tcPr>
          <w:p w14:paraId="6B6B2FD1" w14:textId="77777777" w:rsidR="00EA19B5" w:rsidRPr="004847B7" w:rsidRDefault="00EA19B5" w:rsidP="00EA19B5">
            <w:pPr>
              <w:jc w:val="left"/>
              <w:rPr>
                <w:rFonts w:ascii="Times New Roman" w:hAnsi="Times New Roman"/>
                <w:sz w:val="20"/>
              </w:rPr>
            </w:pPr>
          </w:p>
        </w:tc>
        <w:tc>
          <w:tcPr>
            <w:tcW w:w="1419" w:type="pct"/>
            <w:vAlign w:val="center"/>
          </w:tcPr>
          <w:p w14:paraId="0A16449D" w14:textId="45D16906"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EA19B5" w:rsidRPr="004847B7" w:rsidRDefault="00EA19B5" w:rsidP="00EA19B5">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EA19B5" w:rsidRPr="00DC5591" w:rsidRDefault="00EC585A" w:rsidP="00EA19B5">
            <w:pPr>
              <w:jc w:val="center"/>
              <w:rPr>
                <w:rFonts w:ascii="Times New Roman" w:hAnsi="Times New Roman"/>
                <w:sz w:val="20"/>
              </w:rPr>
            </w:pPr>
            <w:r w:rsidRPr="00DC5591">
              <w:rPr>
                <w:rFonts w:ascii="Times New Roman" w:hAnsi="Times New Roman"/>
                <w:sz w:val="20"/>
              </w:rPr>
              <w:t>-</w:t>
            </w:r>
          </w:p>
        </w:tc>
        <w:tc>
          <w:tcPr>
            <w:tcW w:w="381" w:type="pct"/>
            <w:shd w:val="clear" w:color="auto" w:fill="FFFFFF"/>
            <w:vAlign w:val="center"/>
          </w:tcPr>
          <w:p w14:paraId="728C57C5" w14:textId="7452FFA6" w:rsidR="00EA19B5" w:rsidRPr="00DC5591" w:rsidRDefault="00CF21FA" w:rsidP="00EA19B5">
            <w:pPr>
              <w:jc w:val="center"/>
              <w:rPr>
                <w:rFonts w:ascii="Times New Roman" w:hAnsi="Times New Roman"/>
                <w:sz w:val="20"/>
              </w:rPr>
            </w:pPr>
            <w:r w:rsidRPr="00DC5591">
              <w:rPr>
                <w:rFonts w:ascii="Times New Roman" w:hAnsi="Times New Roman"/>
                <w:sz w:val="20"/>
              </w:rPr>
              <w:t>40</w:t>
            </w:r>
          </w:p>
        </w:tc>
        <w:tc>
          <w:tcPr>
            <w:tcW w:w="382" w:type="pct"/>
            <w:shd w:val="clear" w:color="auto" w:fill="FFFFFF"/>
            <w:vAlign w:val="center"/>
          </w:tcPr>
          <w:p w14:paraId="0D101A67" w14:textId="1A8A977F" w:rsidR="00EA19B5" w:rsidRPr="00DC5591" w:rsidRDefault="00EA19B5" w:rsidP="00EA19B5">
            <w:pPr>
              <w:jc w:val="center"/>
              <w:rPr>
                <w:rFonts w:ascii="Times New Roman" w:hAnsi="Times New Roman"/>
                <w:sz w:val="20"/>
              </w:rPr>
            </w:pPr>
            <w:r w:rsidRPr="00DC5591">
              <w:rPr>
                <w:rFonts w:ascii="Times New Roman" w:hAnsi="Times New Roman"/>
                <w:sz w:val="20"/>
              </w:rPr>
              <w:t>56</w:t>
            </w:r>
          </w:p>
        </w:tc>
        <w:tc>
          <w:tcPr>
            <w:tcW w:w="420" w:type="pct"/>
            <w:shd w:val="clear" w:color="auto" w:fill="FFFFFF"/>
            <w:vAlign w:val="center"/>
          </w:tcPr>
          <w:p w14:paraId="3DD1A262" w14:textId="7906A082" w:rsidR="00EA19B5" w:rsidRPr="00DC5591" w:rsidRDefault="00172E8A" w:rsidP="00EA19B5">
            <w:pPr>
              <w:jc w:val="center"/>
              <w:rPr>
                <w:rFonts w:ascii="Times New Roman" w:hAnsi="Times New Roman"/>
                <w:sz w:val="20"/>
              </w:rPr>
            </w:pPr>
            <w:r w:rsidRPr="00DC5591">
              <w:rPr>
                <w:rFonts w:ascii="Times New Roman" w:hAnsi="Times New Roman"/>
                <w:sz w:val="20"/>
              </w:rPr>
              <w:t>119</w:t>
            </w:r>
          </w:p>
        </w:tc>
      </w:tr>
      <w:tr w:rsidR="00EA19B5" w:rsidRPr="004847B7" w14:paraId="7B828EA1" w14:textId="77777777" w:rsidTr="00C70405">
        <w:trPr>
          <w:trHeight w:val="20"/>
        </w:trPr>
        <w:tc>
          <w:tcPr>
            <w:tcW w:w="1143" w:type="pct"/>
            <w:vMerge w:val="restart"/>
            <w:shd w:val="clear" w:color="auto" w:fill="auto"/>
            <w:vAlign w:val="center"/>
          </w:tcPr>
          <w:p w14:paraId="0000055C" w14:textId="115E85B7" w:rsidR="00EA19B5" w:rsidRPr="004847B7" w:rsidRDefault="00EA19B5" w:rsidP="00EA19B5">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EA19B5" w:rsidRPr="004847B7" w:rsidRDefault="00EA19B5" w:rsidP="00EA19B5">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EA19B5" w:rsidRPr="004847B7" w:rsidRDefault="00EA19B5" w:rsidP="00EA19B5">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77F7AE72" w:rsidR="00EA19B5" w:rsidRPr="00DC5591" w:rsidRDefault="009E7A52" w:rsidP="00EA19B5">
            <w:pPr>
              <w:jc w:val="center"/>
              <w:rPr>
                <w:rFonts w:ascii="Times New Roman" w:hAnsi="Times New Roman"/>
                <w:sz w:val="20"/>
              </w:rPr>
            </w:pPr>
            <w:r w:rsidRPr="00DC5591">
              <w:rPr>
                <w:rFonts w:ascii="Times New Roman" w:hAnsi="Times New Roman"/>
                <w:sz w:val="20"/>
              </w:rPr>
              <w:t>632</w:t>
            </w:r>
          </w:p>
        </w:tc>
        <w:tc>
          <w:tcPr>
            <w:tcW w:w="381" w:type="pct"/>
            <w:shd w:val="clear" w:color="auto" w:fill="FFFFFF"/>
            <w:vAlign w:val="center"/>
          </w:tcPr>
          <w:p w14:paraId="00000560" w14:textId="4874627D" w:rsidR="00EA19B5" w:rsidRPr="00DC5591" w:rsidRDefault="00CF21FA" w:rsidP="00EA19B5">
            <w:pPr>
              <w:jc w:val="center"/>
              <w:rPr>
                <w:rFonts w:ascii="Times New Roman" w:hAnsi="Times New Roman"/>
                <w:sz w:val="20"/>
              </w:rPr>
            </w:pPr>
            <w:r w:rsidRPr="00DC5591">
              <w:rPr>
                <w:rFonts w:ascii="Times New Roman" w:hAnsi="Times New Roman"/>
                <w:sz w:val="20"/>
              </w:rPr>
              <w:t>858</w:t>
            </w:r>
          </w:p>
        </w:tc>
        <w:tc>
          <w:tcPr>
            <w:tcW w:w="382" w:type="pct"/>
            <w:shd w:val="clear" w:color="auto" w:fill="FFFFFF"/>
            <w:vAlign w:val="center"/>
          </w:tcPr>
          <w:p w14:paraId="00000561" w14:textId="22DBEE8F" w:rsidR="00EA19B5" w:rsidRPr="00DC5591" w:rsidRDefault="00EA19B5" w:rsidP="00EA19B5">
            <w:pPr>
              <w:jc w:val="center"/>
              <w:rPr>
                <w:rFonts w:ascii="Times New Roman" w:hAnsi="Times New Roman"/>
                <w:sz w:val="20"/>
              </w:rPr>
            </w:pPr>
            <w:r w:rsidRPr="00DC5591">
              <w:rPr>
                <w:rFonts w:ascii="Times New Roman" w:hAnsi="Times New Roman"/>
                <w:sz w:val="20"/>
              </w:rPr>
              <w:t>514</w:t>
            </w:r>
          </w:p>
        </w:tc>
        <w:tc>
          <w:tcPr>
            <w:tcW w:w="420" w:type="pct"/>
            <w:shd w:val="clear" w:color="auto" w:fill="FFFFFF"/>
            <w:vAlign w:val="center"/>
          </w:tcPr>
          <w:p w14:paraId="00000562" w14:textId="1A418783" w:rsidR="00EA19B5" w:rsidRPr="00DC5591" w:rsidRDefault="0048211C" w:rsidP="00EA19B5">
            <w:pPr>
              <w:jc w:val="center"/>
              <w:rPr>
                <w:rFonts w:ascii="Times New Roman" w:hAnsi="Times New Roman"/>
                <w:sz w:val="20"/>
              </w:rPr>
            </w:pPr>
            <w:r w:rsidRPr="00DC5591">
              <w:rPr>
                <w:rFonts w:ascii="Times New Roman" w:hAnsi="Times New Roman"/>
                <w:sz w:val="20"/>
              </w:rPr>
              <w:t>2.</w:t>
            </w:r>
            <w:r w:rsidR="00172E8A" w:rsidRPr="00DC5591">
              <w:rPr>
                <w:rFonts w:ascii="Times New Roman" w:hAnsi="Times New Roman"/>
                <w:sz w:val="20"/>
              </w:rPr>
              <w:t>603</w:t>
            </w:r>
          </w:p>
        </w:tc>
      </w:tr>
      <w:tr w:rsidR="00EA19B5" w:rsidRPr="004847B7" w14:paraId="0B5F7912" w14:textId="77777777" w:rsidTr="00C70405">
        <w:trPr>
          <w:trHeight w:val="20"/>
        </w:trPr>
        <w:tc>
          <w:tcPr>
            <w:tcW w:w="1143" w:type="pct"/>
            <w:vMerge/>
            <w:shd w:val="clear" w:color="auto" w:fill="auto"/>
            <w:vAlign w:val="center"/>
          </w:tcPr>
          <w:p w14:paraId="4F1CEC23" w14:textId="77777777" w:rsidR="00EA19B5" w:rsidRPr="004847B7" w:rsidRDefault="00EA19B5" w:rsidP="00EA19B5">
            <w:pPr>
              <w:jc w:val="left"/>
              <w:rPr>
                <w:rFonts w:ascii="Times New Roman" w:hAnsi="Times New Roman"/>
                <w:sz w:val="20"/>
              </w:rPr>
            </w:pPr>
          </w:p>
        </w:tc>
        <w:tc>
          <w:tcPr>
            <w:tcW w:w="1419" w:type="pct"/>
            <w:vAlign w:val="center"/>
          </w:tcPr>
          <w:p w14:paraId="239BE989" w14:textId="6424E601"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EA19B5" w:rsidRPr="004847B7" w:rsidRDefault="00EA19B5" w:rsidP="00EA19B5">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EA19B5" w:rsidRPr="00DC5591" w:rsidRDefault="009E7A52" w:rsidP="00EA19B5">
            <w:pPr>
              <w:jc w:val="center"/>
              <w:rPr>
                <w:rFonts w:ascii="Times New Roman" w:hAnsi="Times New Roman"/>
                <w:sz w:val="20"/>
              </w:rPr>
            </w:pPr>
            <w:r w:rsidRPr="00DC5591">
              <w:rPr>
                <w:rFonts w:ascii="Times New Roman" w:hAnsi="Times New Roman"/>
                <w:sz w:val="20"/>
              </w:rPr>
              <w:t>59</w:t>
            </w:r>
          </w:p>
        </w:tc>
        <w:tc>
          <w:tcPr>
            <w:tcW w:w="381" w:type="pct"/>
            <w:shd w:val="clear" w:color="auto" w:fill="FFFFFF"/>
            <w:vAlign w:val="center"/>
          </w:tcPr>
          <w:p w14:paraId="7B153244" w14:textId="5F365121" w:rsidR="00EA19B5" w:rsidRPr="00DC5591" w:rsidRDefault="00CF21FA" w:rsidP="00EA19B5">
            <w:pPr>
              <w:jc w:val="center"/>
              <w:rPr>
                <w:rFonts w:ascii="Times New Roman" w:hAnsi="Times New Roman"/>
                <w:sz w:val="20"/>
              </w:rPr>
            </w:pPr>
            <w:r w:rsidRPr="00DC5591">
              <w:rPr>
                <w:rFonts w:ascii="Times New Roman" w:hAnsi="Times New Roman"/>
                <w:sz w:val="20"/>
              </w:rPr>
              <w:t>26</w:t>
            </w:r>
          </w:p>
        </w:tc>
        <w:tc>
          <w:tcPr>
            <w:tcW w:w="382" w:type="pct"/>
            <w:shd w:val="clear" w:color="auto" w:fill="FFFFFF"/>
            <w:vAlign w:val="center"/>
          </w:tcPr>
          <w:p w14:paraId="7736555C" w14:textId="392BBCF7" w:rsidR="00EA19B5" w:rsidRPr="00DC5591" w:rsidRDefault="00EA19B5" w:rsidP="00EA19B5">
            <w:pPr>
              <w:jc w:val="center"/>
              <w:rPr>
                <w:rFonts w:ascii="Times New Roman" w:hAnsi="Times New Roman"/>
                <w:sz w:val="20"/>
              </w:rPr>
            </w:pPr>
            <w:r w:rsidRPr="00DC5591">
              <w:rPr>
                <w:rFonts w:ascii="Times New Roman" w:hAnsi="Times New Roman"/>
                <w:sz w:val="20"/>
              </w:rPr>
              <w:t>155</w:t>
            </w:r>
          </w:p>
        </w:tc>
        <w:tc>
          <w:tcPr>
            <w:tcW w:w="420" w:type="pct"/>
            <w:shd w:val="clear" w:color="auto" w:fill="FFFFFF"/>
            <w:vAlign w:val="center"/>
          </w:tcPr>
          <w:p w14:paraId="7A759198" w14:textId="34499C22" w:rsidR="00EA19B5" w:rsidRPr="00DC5591" w:rsidRDefault="00172E8A" w:rsidP="00EA19B5">
            <w:pPr>
              <w:jc w:val="center"/>
              <w:rPr>
                <w:rFonts w:ascii="Times New Roman" w:hAnsi="Times New Roman"/>
                <w:sz w:val="20"/>
              </w:rPr>
            </w:pPr>
            <w:r w:rsidRPr="00DC5591">
              <w:rPr>
                <w:rFonts w:ascii="Times New Roman" w:hAnsi="Times New Roman"/>
                <w:sz w:val="20"/>
              </w:rPr>
              <w:t>255</w:t>
            </w:r>
          </w:p>
        </w:tc>
      </w:tr>
      <w:tr w:rsidR="00EA19B5" w:rsidRPr="004847B7" w14:paraId="47DE2015" w14:textId="77777777" w:rsidTr="00C70405">
        <w:trPr>
          <w:trHeight w:val="20"/>
        </w:trPr>
        <w:tc>
          <w:tcPr>
            <w:tcW w:w="1143" w:type="pct"/>
            <w:shd w:val="clear" w:color="auto" w:fill="auto"/>
            <w:vAlign w:val="center"/>
          </w:tcPr>
          <w:p w14:paraId="0000056A" w14:textId="77777777" w:rsidR="00EA19B5" w:rsidRPr="004847B7" w:rsidRDefault="00EA19B5" w:rsidP="00EA19B5">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EA19B5" w:rsidRPr="004847B7" w:rsidRDefault="00EA19B5" w:rsidP="00EA19B5">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EA19B5" w:rsidRPr="004847B7" w:rsidRDefault="00EA19B5" w:rsidP="00EA19B5">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EA19B5" w:rsidRPr="00DC5591" w:rsidRDefault="0032031A" w:rsidP="00EA19B5">
            <w:pPr>
              <w:jc w:val="center"/>
              <w:rPr>
                <w:rFonts w:ascii="Times New Roman" w:hAnsi="Times New Roman"/>
                <w:sz w:val="20"/>
              </w:rPr>
            </w:pPr>
            <w:r w:rsidRPr="00DC5591">
              <w:rPr>
                <w:rFonts w:ascii="Times New Roman" w:hAnsi="Times New Roman"/>
                <w:sz w:val="20"/>
              </w:rPr>
              <w:t>970</w:t>
            </w:r>
          </w:p>
        </w:tc>
        <w:tc>
          <w:tcPr>
            <w:tcW w:w="381" w:type="pct"/>
            <w:shd w:val="clear" w:color="auto" w:fill="FFFFFF"/>
            <w:vAlign w:val="center"/>
          </w:tcPr>
          <w:p w14:paraId="0000056E" w14:textId="35BE2D44" w:rsidR="00EA19B5" w:rsidRPr="00DC5591" w:rsidRDefault="00CF21FA" w:rsidP="00EA19B5">
            <w:pPr>
              <w:jc w:val="center"/>
              <w:rPr>
                <w:rFonts w:ascii="Times New Roman" w:hAnsi="Times New Roman"/>
                <w:sz w:val="20"/>
              </w:rPr>
            </w:pPr>
            <w:r w:rsidRPr="00DC5591">
              <w:rPr>
                <w:rFonts w:ascii="Times New Roman" w:hAnsi="Times New Roman"/>
                <w:sz w:val="20"/>
              </w:rPr>
              <w:t>1.198</w:t>
            </w:r>
          </w:p>
        </w:tc>
        <w:tc>
          <w:tcPr>
            <w:tcW w:w="382" w:type="pct"/>
            <w:shd w:val="clear" w:color="auto" w:fill="FFFFFF"/>
            <w:vAlign w:val="center"/>
          </w:tcPr>
          <w:p w14:paraId="0000056F" w14:textId="5605B2B5" w:rsidR="00EA19B5" w:rsidRPr="00DC5591" w:rsidRDefault="00EA19B5" w:rsidP="00EA19B5">
            <w:pPr>
              <w:jc w:val="center"/>
              <w:rPr>
                <w:rFonts w:ascii="Times New Roman" w:hAnsi="Times New Roman"/>
                <w:sz w:val="20"/>
              </w:rPr>
            </w:pPr>
            <w:r w:rsidRPr="00DC5591">
              <w:rPr>
                <w:rFonts w:ascii="Times New Roman" w:hAnsi="Times New Roman"/>
                <w:sz w:val="20"/>
              </w:rPr>
              <w:t>886</w:t>
            </w:r>
          </w:p>
        </w:tc>
        <w:tc>
          <w:tcPr>
            <w:tcW w:w="420" w:type="pct"/>
            <w:shd w:val="clear" w:color="auto" w:fill="FFFFFF"/>
            <w:vAlign w:val="center"/>
          </w:tcPr>
          <w:p w14:paraId="00000570" w14:textId="29228953" w:rsidR="00EA19B5" w:rsidRPr="00DC5591" w:rsidRDefault="00172E8A" w:rsidP="00EA19B5">
            <w:pPr>
              <w:jc w:val="center"/>
              <w:rPr>
                <w:rFonts w:ascii="Times New Roman" w:hAnsi="Times New Roman"/>
                <w:sz w:val="20"/>
              </w:rPr>
            </w:pPr>
            <w:r w:rsidRPr="00DC5591">
              <w:rPr>
                <w:rFonts w:ascii="Times New Roman" w:hAnsi="Times New Roman"/>
                <w:sz w:val="20"/>
              </w:rPr>
              <w:t>4.053</w:t>
            </w:r>
          </w:p>
        </w:tc>
      </w:tr>
      <w:tr w:rsidR="00EA19B5" w:rsidRPr="00C70405" w14:paraId="435D6F76" w14:textId="77777777" w:rsidTr="00C70405">
        <w:trPr>
          <w:trHeight w:val="20"/>
        </w:trPr>
        <w:tc>
          <w:tcPr>
            <w:tcW w:w="2562" w:type="pct"/>
            <w:gridSpan w:val="2"/>
            <w:shd w:val="clear" w:color="auto" w:fill="auto"/>
            <w:vAlign w:val="center"/>
          </w:tcPr>
          <w:p w14:paraId="283588FA" w14:textId="5BC5E106" w:rsidR="00EA19B5" w:rsidRPr="004847B7" w:rsidRDefault="00EA19B5" w:rsidP="00EA19B5">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EA19B5" w:rsidRPr="004847B7" w:rsidRDefault="00EA19B5" w:rsidP="00EA19B5">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EA19B5" w:rsidRPr="004847B7" w:rsidRDefault="00EA19B5" w:rsidP="00EA19B5">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03BBDC18" w:rsidR="00EA19B5" w:rsidRPr="00DC5591" w:rsidRDefault="00EA19B5" w:rsidP="00EA19B5">
            <w:pPr>
              <w:jc w:val="center"/>
              <w:rPr>
                <w:rFonts w:ascii="Times New Roman" w:hAnsi="Times New Roman"/>
                <w:b/>
                <w:bCs/>
                <w:sz w:val="22"/>
                <w:szCs w:val="22"/>
              </w:rPr>
            </w:pPr>
            <w:r w:rsidRPr="00DC5591">
              <w:rPr>
                <w:rFonts w:ascii="Times New Roman" w:hAnsi="Times New Roman"/>
                <w:b/>
                <w:bCs/>
                <w:color w:val="000000"/>
                <w:sz w:val="22"/>
                <w:szCs w:val="22"/>
              </w:rPr>
              <w:t>5.</w:t>
            </w:r>
            <w:r w:rsidR="003756D4" w:rsidRPr="00DC5591">
              <w:rPr>
                <w:rFonts w:ascii="Times New Roman" w:hAnsi="Times New Roman"/>
                <w:b/>
                <w:bCs/>
                <w:color w:val="000000"/>
                <w:sz w:val="22"/>
                <w:szCs w:val="22"/>
              </w:rPr>
              <w:t>520</w:t>
            </w:r>
          </w:p>
        </w:tc>
        <w:tc>
          <w:tcPr>
            <w:tcW w:w="381" w:type="pct"/>
            <w:shd w:val="clear" w:color="auto" w:fill="FFFFFF"/>
            <w:vAlign w:val="center"/>
          </w:tcPr>
          <w:p w14:paraId="7B7F0900" w14:textId="253CAD7A" w:rsidR="00EA19B5" w:rsidRPr="00DC5591" w:rsidRDefault="00EA19B5" w:rsidP="00EA19B5">
            <w:pPr>
              <w:jc w:val="center"/>
              <w:rPr>
                <w:rFonts w:ascii="Times New Roman" w:hAnsi="Times New Roman"/>
                <w:b/>
                <w:bCs/>
                <w:sz w:val="22"/>
                <w:szCs w:val="22"/>
              </w:rPr>
            </w:pPr>
            <w:r w:rsidRPr="00DC5591">
              <w:rPr>
                <w:rFonts w:ascii="Times New Roman" w:hAnsi="Times New Roman"/>
                <w:b/>
                <w:bCs/>
                <w:color w:val="000000"/>
                <w:sz w:val="22"/>
                <w:szCs w:val="22"/>
              </w:rPr>
              <w:t>5.</w:t>
            </w:r>
            <w:r w:rsidR="00CF21FA" w:rsidRPr="00DC5591">
              <w:rPr>
                <w:rFonts w:ascii="Times New Roman" w:hAnsi="Times New Roman"/>
                <w:b/>
                <w:bCs/>
                <w:color w:val="000000"/>
                <w:sz w:val="22"/>
                <w:szCs w:val="22"/>
              </w:rPr>
              <w:t>125</w:t>
            </w:r>
          </w:p>
        </w:tc>
        <w:tc>
          <w:tcPr>
            <w:tcW w:w="382" w:type="pct"/>
            <w:shd w:val="clear" w:color="auto" w:fill="FFFFFF"/>
            <w:vAlign w:val="center"/>
          </w:tcPr>
          <w:p w14:paraId="53893B16" w14:textId="125C6BED" w:rsidR="00EA19B5" w:rsidRPr="00DC5591" w:rsidRDefault="00EA19B5" w:rsidP="00EA19B5">
            <w:pPr>
              <w:jc w:val="center"/>
              <w:rPr>
                <w:rFonts w:ascii="Times New Roman" w:hAnsi="Times New Roman"/>
                <w:b/>
                <w:bCs/>
                <w:sz w:val="22"/>
                <w:szCs w:val="22"/>
              </w:rPr>
            </w:pPr>
            <w:r w:rsidRPr="00DC5591">
              <w:rPr>
                <w:rFonts w:ascii="Times New Roman" w:hAnsi="Times New Roman"/>
                <w:b/>
                <w:bCs/>
                <w:color w:val="000000"/>
                <w:sz w:val="22"/>
                <w:szCs w:val="22"/>
              </w:rPr>
              <w:t>3.303</w:t>
            </w:r>
          </w:p>
        </w:tc>
        <w:tc>
          <w:tcPr>
            <w:tcW w:w="420" w:type="pct"/>
            <w:shd w:val="clear" w:color="auto" w:fill="FFFFFF"/>
            <w:vAlign w:val="center"/>
          </w:tcPr>
          <w:p w14:paraId="52AC9F05" w14:textId="0493BF37" w:rsidR="00EA19B5" w:rsidRPr="00DC5591" w:rsidRDefault="00EA19B5" w:rsidP="00EA19B5">
            <w:pPr>
              <w:jc w:val="center"/>
              <w:rPr>
                <w:rFonts w:ascii="Times New Roman" w:hAnsi="Times New Roman"/>
                <w:b/>
                <w:bCs/>
                <w:color w:val="000000"/>
                <w:sz w:val="22"/>
                <w:szCs w:val="22"/>
                <w:lang w:eastAsia="es-CO"/>
              </w:rPr>
            </w:pPr>
            <w:r w:rsidRPr="00DC5591">
              <w:rPr>
                <w:rFonts w:ascii="Times New Roman" w:hAnsi="Times New Roman"/>
                <w:b/>
                <w:bCs/>
                <w:color w:val="000000"/>
                <w:sz w:val="22"/>
                <w:szCs w:val="22"/>
              </w:rPr>
              <w:t>1</w:t>
            </w:r>
            <w:r w:rsidR="00172E8A" w:rsidRPr="00DC5591">
              <w:rPr>
                <w:rFonts w:ascii="Times New Roman" w:hAnsi="Times New Roman"/>
                <w:b/>
                <w:bCs/>
                <w:color w:val="000000"/>
                <w:sz w:val="22"/>
                <w:szCs w:val="22"/>
              </w:rPr>
              <w:t>8</w:t>
            </w:r>
            <w:r w:rsidRPr="00DC5591">
              <w:rPr>
                <w:rFonts w:ascii="Times New Roman" w:hAnsi="Times New Roman"/>
                <w:b/>
                <w:bCs/>
                <w:color w:val="000000"/>
                <w:sz w:val="22"/>
                <w:szCs w:val="22"/>
              </w:rPr>
              <w:t>.</w:t>
            </w:r>
            <w:r w:rsidR="00172E8A" w:rsidRPr="00DC5591">
              <w:rPr>
                <w:rFonts w:ascii="Times New Roman" w:hAnsi="Times New Roman"/>
                <w:b/>
                <w:bCs/>
                <w:color w:val="000000"/>
                <w:sz w:val="22"/>
                <w:szCs w:val="22"/>
              </w:rPr>
              <w:t>982</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Reintegro del presupuesto por valor de 1´275.568.617 concepto favorable de acuerdo a radicado 2021EE124854, SDP 1-2021-52853 (</w:t>
      </w:r>
      <w:proofErr w:type="gramStart"/>
      <w:r w:rsidR="00D57403" w:rsidRPr="00C70405">
        <w:rPr>
          <w:sz w:val="16"/>
          <w:szCs w:val="16"/>
        </w:rPr>
        <w:t xml:space="preserve">Agosto) </w:t>
      </w:r>
      <w:r w:rsidR="00464D06" w:rsidRPr="00C70405">
        <w:rPr>
          <w:sz w:val="16"/>
          <w:szCs w:val="16"/>
        </w:rPr>
        <w:t xml:space="preserve"> *</w:t>
      </w:r>
      <w:proofErr w:type="gramEnd"/>
      <w:r w:rsidR="00464D06" w:rsidRPr="00C70405">
        <w:rPr>
          <w:sz w:val="16"/>
          <w:szCs w:val="16"/>
        </w:rPr>
        <w:t xml:space="preserve">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w:t>
            </w:r>
            <w:proofErr w:type="gramStart"/>
            <w:r w:rsidRPr="00C70405">
              <w:rPr>
                <w:rFonts w:ascii="Times New Roman" w:hAnsi="Times New Roman"/>
                <w:color w:val="000000"/>
                <w:sz w:val="18"/>
                <w:szCs w:val="18"/>
              </w:rPr>
              <w:t>1.</w:t>
            </w:r>
            <w:r w:rsidR="00B82289" w:rsidRPr="00C70405">
              <w:rPr>
                <w:rFonts w:ascii="Times New Roman" w:hAnsi="Times New Roman"/>
                <w:color w:val="000000"/>
                <w:sz w:val="18"/>
                <w:szCs w:val="18"/>
              </w:rPr>
              <w:t>Que</w:t>
            </w:r>
            <w:proofErr w:type="gramEnd"/>
            <w:r w:rsidR="00B82289" w:rsidRPr="00C70405">
              <w:rPr>
                <w:rFonts w:ascii="Times New Roman" w:hAnsi="Times New Roman"/>
                <w:color w:val="000000"/>
                <w:sz w:val="18"/>
                <w:szCs w:val="18"/>
              </w:rPr>
              <w:t xml:space="preserv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B2DEBC5"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 xml:space="preserve">la </w:t>
            </w:r>
            <w:proofErr w:type="gramStart"/>
            <w:r w:rsidR="00894BC0" w:rsidRPr="00C70405">
              <w:rPr>
                <w:rFonts w:ascii="Times New Roman" w:hAnsi="Times New Roman"/>
                <w:sz w:val="18"/>
                <w:szCs w:val="18"/>
              </w:rPr>
              <w:t>formulación</w:t>
            </w:r>
            <w:r w:rsidRPr="00C70405">
              <w:rPr>
                <w:rFonts w:ascii="Times New Roman" w:hAnsi="Times New Roman"/>
                <w:sz w:val="18"/>
                <w:szCs w:val="18"/>
              </w:rPr>
              <w:t xml:space="preserve">  y</w:t>
            </w:r>
            <w:proofErr w:type="gramEnd"/>
            <w:r w:rsidRPr="00C70405">
              <w:rPr>
                <w:rFonts w:ascii="Times New Roman" w:hAnsi="Times New Roman"/>
                <w:sz w:val="18"/>
                <w:szCs w:val="18"/>
              </w:rPr>
              <w:t xml:space="preserve">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3B93E6D2"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 Reprocesos y demoras en la implementación de lineamientos nacionales ambientales para la conservación de los ecosistemas estratégicos en la </w:t>
            </w:r>
            <w:proofErr w:type="gramStart"/>
            <w:r w:rsidRPr="00C70405">
              <w:rPr>
                <w:rFonts w:ascii="Times New Roman" w:hAnsi="Times New Roman"/>
                <w:sz w:val="18"/>
                <w:szCs w:val="18"/>
              </w:rPr>
              <w:t>ciudad  -</w:t>
            </w:r>
            <w:proofErr w:type="gramEnd"/>
            <w:r w:rsidRPr="00C70405">
              <w:rPr>
                <w:rFonts w:ascii="Times New Roman" w:hAnsi="Times New Roman"/>
                <w:sz w:val="18"/>
                <w:szCs w:val="18"/>
              </w:rPr>
              <w:t xml:space="preserve">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proofErr w:type="gramStart"/>
            <w:r w:rsidRPr="00C70405">
              <w:rPr>
                <w:rFonts w:ascii="Times New Roman" w:hAnsi="Times New Roman"/>
                <w:sz w:val="18"/>
                <w:szCs w:val="18"/>
              </w:rPr>
              <w:t>Backups</w:t>
            </w:r>
            <w:proofErr w:type="spellEnd"/>
            <w:r w:rsidRPr="00C70405">
              <w:rPr>
                <w:rFonts w:ascii="Times New Roman" w:hAnsi="Times New Roman"/>
                <w:sz w:val="18"/>
                <w:szCs w:val="18"/>
              </w:rPr>
              <w:t xml:space="preserve"> :</w:t>
            </w:r>
            <w:proofErr w:type="gramEnd"/>
            <w:r w:rsidRPr="00C70405">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C70405" w:rsidRDefault="00CE4086" w:rsidP="00C70405">
            <w:pPr>
              <w:widowControl w:val="0"/>
              <w:jc w:val="center"/>
              <w:rPr>
                <w:rFonts w:ascii="Times New Roman" w:hAnsi="Times New Roman"/>
                <w:sz w:val="18"/>
                <w:szCs w:val="18"/>
              </w:rPr>
            </w:pPr>
            <w:proofErr w:type="gramStart"/>
            <w:r w:rsidRPr="00C70405">
              <w:rPr>
                <w:rFonts w:ascii="Times New Roman" w:hAnsi="Times New Roman"/>
                <w:sz w:val="18"/>
                <w:szCs w:val="18"/>
              </w:rPr>
              <w:t>Vincular  a</w:t>
            </w:r>
            <w:proofErr w:type="gramEnd"/>
            <w:r w:rsidRPr="00C70405">
              <w:rPr>
                <w:rFonts w:ascii="Times New Roman" w:hAnsi="Times New Roman"/>
                <w:sz w:val="18"/>
                <w:szCs w:val="18"/>
              </w:rPr>
              <w:t xml:space="preserve">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w:t>
      </w:r>
      <w:proofErr w:type="gramStart"/>
      <w:r w:rsidRPr="00C70405">
        <w:rPr>
          <w:rFonts w:ascii="Times New Roman" w:hAnsi="Times New Roman"/>
          <w:iCs/>
          <w:sz w:val="22"/>
          <w:szCs w:val="22"/>
        </w:rPr>
        <w:t>impacto moderado y probabilidad moderada</w:t>
      </w:r>
      <w:proofErr w:type="gramEnd"/>
      <w:r w:rsidRPr="00C70405">
        <w:rPr>
          <w:rFonts w:ascii="Times New Roman" w:hAnsi="Times New Roman"/>
          <w:iCs/>
          <w:sz w:val="22"/>
          <w:szCs w:val="22"/>
        </w:rPr>
        <w:t>).</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xml:space="preserve">, generando reprocesos y la no identificación de riesgos tempranos en cuanto a la ejecución de </w:t>
      </w:r>
      <w:proofErr w:type="gramStart"/>
      <w:r w:rsidR="001A3C4D" w:rsidRPr="00C70405">
        <w:rPr>
          <w:rFonts w:ascii="Times New Roman" w:hAnsi="Times New Roman"/>
          <w:iCs/>
          <w:sz w:val="22"/>
          <w:szCs w:val="22"/>
        </w:rPr>
        <w:t>los mismos</w:t>
      </w:r>
      <w:proofErr w:type="gramEnd"/>
      <w:r w:rsidR="001A3C4D" w:rsidRPr="00C70405">
        <w:rPr>
          <w:rFonts w:ascii="Times New Roman" w:hAnsi="Times New Roman"/>
          <w:iCs/>
          <w:sz w:val="22"/>
          <w:szCs w:val="22"/>
        </w:rPr>
        <w:t>.</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 xml:space="preserve">Cálculos herramienta </w:t>
      </w:r>
      <w:proofErr w:type="gramStart"/>
      <w:r w:rsidRPr="00C70405">
        <w:rPr>
          <w:rFonts w:ascii="Times New Roman" w:hAnsi="Times New Roman"/>
          <w:sz w:val="22"/>
          <w:szCs w:val="22"/>
        </w:rPr>
        <w:t>MGA.-</w:t>
      </w:r>
      <w:proofErr w:type="gramEnd"/>
      <w:r w:rsidRPr="00C70405">
        <w:rPr>
          <w:rFonts w:ascii="Times New Roman" w:hAnsi="Times New Roman"/>
          <w:sz w:val="22"/>
          <w:szCs w:val="22"/>
        </w:rPr>
        <w:t xml:space="preserve">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w:t>
      </w:r>
      <w:proofErr w:type="gramStart"/>
      <w:r w:rsidR="001A3C4D" w:rsidRPr="00C70405">
        <w:t>línea</w:t>
      </w:r>
      <w:proofErr w:type="gramEnd"/>
      <w:r w:rsidR="001A3C4D" w:rsidRPr="00C70405">
        <w:t xml:space="preserve">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747C08" w:rsidRPr="00C70405"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C70405" w:rsidRDefault="00747C08" w:rsidP="00747C08">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6D40C80E"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2.7</w:t>
            </w:r>
            <w:r w:rsidR="00A45E4B" w:rsidRPr="008A5665">
              <w:rPr>
                <w:rFonts w:ascii="Times New Roman" w:hAnsi="Times New Roman"/>
                <w:color w:val="000000"/>
                <w:sz w:val="20"/>
              </w:rPr>
              <w:t>2</w:t>
            </w:r>
            <w:r w:rsidRPr="008A5665">
              <w:rPr>
                <w:rFonts w:ascii="Times New Roman" w:hAnsi="Times New Roman"/>
                <w:color w:val="000000"/>
                <w:sz w:val="20"/>
              </w:rPr>
              <w:t>8</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4B66302F"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1.920</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7F0E99CD" w:rsidR="00747C08" w:rsidRPr="008A5665" w:rsidRDefault="00747C08" w:rsidP="00747C08">
            <w:pPr>
              <w:jc w:val="center"/>
              <w:rPr>
                <w:rFonts w:ascii="Times New Roman" w:hAnsi="Times New Roman"/>
                <w:color w:val="000000"/>
                <w:sz w:val="20"/>
              </w:rPr>
            </w:pPr>
            <w:r w:rsidRPr="008A5665">
              <w:rPr>
                <w:rFonts w:ascii="Times New Roman" w:hAnsi="Times New Roman"/>
                <w:color w:val="000000"/>
                <w:sz w:val="20"/>
              </w:rPr>
              <w:t>1.15</w:t>
            </w:r>
            <w:r w:rsidR="00A45E4B" w:rsidRPr="008A5665">
              <w:rPr>
                <w:rFonts w:ascii="Times New Roman" w:hAnsi="Times New Roman"/>
                <w:color w:val="000000"/>
                <w:sz w:val="20"/>
              </w:rPr>
              <w:t>5</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7B122E32" w:rsidR="00747C08" w:rsidRPr="008A5665" w:rsidRDefault="00105B98" w:rsidP="00747C08">
            <w:pPr>
              <w:jc w:val="center"/>
              <w:rPr>
                <w:rFonts w:ascii="Times New Roman" w:hAnsi="Times New Roman"/>
                <w:color w:val="000000"/>
                <w:sz w:val="20"/>
              </w:rPr>
            </w:pPr>
            <w:r w:rsidRPr="008A5665">
              <w:rPr>
                <w:rFonts w:ascii="Times New Roman" w:hAnsi="Times New Roman"/>
                <w:color w:val="000000"/>
                <w:sz w:val="20"/>
              </w:rPr>
              <w:t>7.870</w:t>
            </w:r>
          </w:p>
        </w:tc>
      </w:tr>
      <w:tr w:rsidR="00747C08" w:rsidRPr="00C70405"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C70405" w:rsidRDefault="00747C08" w:rsidP="00747C08">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0CE15A58" w:rsidR="00747C08" w:rsidRPr="008A5665" w:rsidRDefault="00F341F2" w:rsidP="00F341F2">
            <w:pPr>
              <w:jc w:val="center"/>
              <w:rPr>
                <w:rFonts w:ascii="Times New Roman" w:hAnsi="Times New Roman"/>
                <w:color w:val="000000"/>
                <w:sz w:val="20"/>
              </w:rPr>
            </w:pPr>
            <w:r w:rsidRPr="008A5665">
              <w:rPr>
                <w:rFonts w:ascii="Times New Roman" w:hAnsi="Times New Roman"/>
                <w:color w:val="000000"/>
                <w:sz w:val="20"/>
              </w:rPr>
              <w:t>1.13</w:t>
            </w:r>
            <w:r w:rsidR="00AD743F" w:rsidRPr="008A5665">
              <w:rPr>
                <w:rFonts w:ascii="Times New Roman" w:hAnsi="Times New Roman"/>
                <w:color w:val="000000"/>
                <w:sz w:val="20"/>
              </w:rPr>
              <w:t>1</w:t>
            </w:r>
          </w:p>
        </w:tc>
        <w:tc>
          <w:tcPr>
            <w:tcW w:w="992" w:type="dxa"/>
            <w:tcBorders>
              <w:top w:val="nil"/>
              <w:left w:val="nil"/>
              <w:bottom w:val="single" w:sz="4" w:space="0" w:color="000000"/>
              <w:right w:val="single" w:sz="4" w:space="0" w:color="000000"/>
            </w:tcBorders>
            <w:shd w:val="clear" w:color="auto" w:fill="FFFFFF"/>
            <w:vAlign w:val="center"/>
          </w:tcPr>
          <w:p w14:paraId="000006B1" w14:textId="6C5FEAF9"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1.123</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747C08" w:rsidRPr="008A5665" w:rsidRDefault="00747C08" w:rsidP="00747C08">
            <w:pPr>
              <w:jc w:val="center"/>
              <w:rPr>
                <w:rFonts w:ascii="Times New Roman" w:hAnsi="Times New Roman"/>
                <w:color w:val="000000"/>
                <w:sz w:val="20"/>
              </w:rPr>
            </w:pPr>
            <w:r w:rsidRPr="008A5665">
              <w:rPr>
                <w:rFonts w:ascii="Times New Roman" w:hAnsi="Times New Roman"/>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5C029BE6" w:rsidR="00747C08" w:rsidRPr="008A5665" w:rsidRDefault="00105B98" w:rsidP="00747C08">
            <w:pPr>
              <w:jc w:val="center"/>
              <w:rPr>
                <w:rFonts w:ascii="Times New Roman" w:hAnsi="Times New Roman"/>
                <w:color w:val="000000"/>
                <w:sz w:val="20"/>
              </w:rPr>
            </w:pPr>
            <w:r w:rsidRPr="008A5665">
              <w:rPr>
                <w:rFonts w:ascii="Times New Roman" w:hAnsi="Times New Roman"/>
                <w:color w:val="000000"/>
                <w:sz w:val="20"/>
              </w:rPr>
              <w:t>4.201</w:t>
            </w:r>
          </w:p>
        </w:tc>
      </w:tr>
      <w:tr w:rsidR="00747C08" w:rsidRPr="00C70405"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C70405" w:rsidRDefault="00747C08" w:rsidP="00747C08">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5BA8A2A1"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691</w:t>
            </w:r>
          </w:p>
        </w:tc>
        <w:tc>
          <w:tcPr>
            <w:tcW w:w="992" w:type="dxa"/>
            <w:tcBorders>
              <w:top w:val="nil"/>
              <w:left w:val="nil"/>
              <w:bottom w:val="single" w:sz="4" w:space="0" w:color="000000"/>
              <w:right w:val="single" w:sz="4" w:space="0" w:color="000000"/>
            </w:tcBorders>
            <w:shd w:val="clear" w:color="auto" w:fill="FFFFFF"/>
            <w:vAlign w:val="center"/>
          </w:tcPr>
          <w:p w14:paraId="000006B8" w14:textId="1BABF81A"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884</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747C08" w:rsidRPr="008A5665" w:rsidRDefault="00747C08" w:rsidP="00747C08">
            <w:pPr>
              <w:jc w:val="center"/>
              <w:rPr>
                <w:rFonts w:ascii="Times New Roman" w:hAnsi="Times New Roman"/>
                <w:color w:val="000000"/>
                <w:sz w:val="20"/>
              </w:rPr>
            </w:pPr>
            <w:r w:rsidRPr="008A5665">
              <w:rPr>
                <w:rFonts w:ascii="Times New Roman" w:hAnsi="Times New Roman"/>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1C9EE9D4" w:rsidR="00747C08" w:rsidRPr="008A5665" w:rsidRDefault="00105B98" w:rsidP="00747C08">
            <w:pPr>
              <w:jc w:val="center"/>
              <w:rPr>
                <w:rFonts w:ascii="Times New Roman" w:hAnsi="Times New Roman"/>
                <w:color w:val="000000"/>
                <w:sz w:val="20"/>
              </w:rPr>
            </w:pPr>
            <w:r w:rsidRPr="008A5665">
              <w:rPr>
                <w:rFonts w:ascii="Times New Roman" w:hAnsi="Times New Roman"/>
                <w:color w:val="000000"/>
                <w:sz w:val="20"/>
              </w:rPr>
              <w:t>2.858</w:t>
            </w:r>
          </w:p>
        </w:tc>
      </w:tr>
      <w:tr w:rsidR="00747C08" w:rsidRPr="00C70405"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C70405" w:rsidRDefault="00747C08" w:rsidP="00747C08">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3E6C15C7"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FFFFFF"/>
            <w:vAlign w:val="center"/>
          </w:tcPr>
          <w:p w14:paraId="000006BF" w14:textId="6A9B9C2C" w:rsidR="00747C08" w:rsidRPr="008A5665" w:rsidRDefault="00AD743F" w:rsidP="00747C08">
            <w:pPr>
              <w:jc w:val="center"/>
              <w:rPr>
                <w:rFonts w:ascii="Times New Roman" w:hAnsi="Times New Roman"/>
                <w:color w:val="000000"/>
                <w:sz w:val="20"/>
              </w:rPr>
            </w:pPr>
            <w:r w:rsidRPr="008A5665">
              <w:rPr>
                <w:rFonts w:ascii="Times New Roman" w:hAnsi="Times New Roman"/>
                <w:color w:val="000000"/>
                <w:sz w:val="20"/>
              </w:rPr>
              <w:t>1198</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747C08" w:rsidRPr="008A5665" w:rsidRDefault="00747C08" w:rsidP="00747C08">
            <w:pPr>
              <w:jc w:val="center"/>
              <w:rPr>
                <w:rFonts w:ascii="Times New Roman" w:hAnsi="Times New Roman"/>
                <w:color w:val="000000"/>
                <w:sz w:val="20"/>
              </w:rPr>
            </w:pPr>
            <w:r w:rsidRPr="008A5665">
              <w:rPr>
                <w:rFonts w:ascii="Times New Roman" w:hAnsi="Times New Roman"/>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008C0CD6" w:rsidR="00747C08" w:rsidRPr="008A5665" w:rsidRDefault="00105B98" w:rsidP="00747C08">
            <w:pPr>
              <w:jc w:val="center"/>
              <w:rPr>
                <w:rFonts w:ascii="Times New Roman" w:hAnsi="Times New Roman"/>
                <w:color w:val="000000"/>
                <w:sz w:val="20"/>
              </w:rPr>
            </w:pPr>
            <w:r w:rsidRPr="008A5665">
              <w:rPr>
                <w:rFonts w:ascii="Times New Roman" w:hAnsi="Times New Roman"/>
                <w:color w:val="000000"/>
                <w:sz w:val="20"/>
              </w:rPr>
              <w:t>4.053</w:t>
            </w:r>
          </w:p>
        </w:tc>
      </w:tr>
      <w:tr w:rsidR="00747C08" w:rsidRPr="00C70405"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C70405" w:rsidRDefault="00747C08" w:rsidP="00747C08">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C70405" w:rsidRDefault="00747C08" w:rsidP="00747C08">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C70405" w:rsidRDefault="00747C08" w:rsidP="00747C08">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1847EB9B" w:rsidR="00747C08" w:rsidRPr="008A5665" w:rsidRDefault="00747C08" w:rsidP="00747C08">
            <w:pPr>
              <w:jc w:val="center"/>
              <w:rPr>
                <w:rFonts w:ascii="Times New Roman" w:hAnsi="Times New Roman"/>
                <w:b/>
                <w:bCs/>
                <w:color w:val="000000"/>
                <w:sz w:val="20"/>
              </w:rPr>
            </w:pPr>
            <w:r w:rsidRPr="008A5665">
              <w:rPr>
                <w:rFonts w:ascii="Times New Roman" w:hAnsi="Times New Roman"/>
                <w:b/>
                <w:bCs/>
                <w:color w:val="000000"/>
                <w:sz w:val="20"/>
              </w:rPr>
              <w:t>5.</w:t>
            </w:r>
            <w:r w:rsidR="00AD743F" w:rsidRPr="008A5665">
              <w:rPr>
                <w:rFonts w:ascii="Times New Roman" w:hAnsi="Times New Roman"/>
                <w:b/>
                <w:bCs/>
                <w:color w:val="000000"/>
                <w:sz w:val="20"/>
              </w:rPr>
              <w:t>520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43387F" w:rsidR="00747C08" w:rsidRPr="008A5665" w:rsidRDefault="00747C08" w:rsidP="00747C08">
            <w:pPr>
              <w:jc w:val="center"/>
              <w:rPr>
                <w:rFonts w:ascii="Times New Roman" w:hAnsi="Times New Roman"/>
                <w:b/>
                <w:bCs/>
                <w:color w:val="000000"/>
                <w:sz w:val="20"/>
              </w:rPr>
            </w:pPr>
            <w:r w:rsidRPr="008A5665">
              <w:rPr>
                <w:rFonts w:ascii="Times New Roman" w:hAnsi="Times New Roman"/>
                <w:b/>
                <w:bCs/>
                <w:color w:val="000000"/>
                <w:sz w:val="20"/>
              </w:rPr>
              <w:t>5.</w:t>
            </w:r>
            <w:r w:rsidR="00AD743F" w:rsidRPr="008A5665">
              <w:rPr>
                <w:rFonts w:ascii="Times New Roman" w:hAnsi="Times New Roman"/>
                <w:b/>
                <w:bCs/>
                <w:color w:val="000000"/>
                <w:sz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747C08" w:rsidRPr="008A5665" w:rsidRDefault="00747C08" w:rsidP="00747C08">
            <w:pPr>
              <w:jc w:val="center"/>
              <w:rPr>
                <w:rFonts w:ascii="Times New Roman" w:hAnsi="Times New Roman"/>
                <w:b/>
                <w:bCs/>
                <w:color w:val="000000"/>
                <w:sz w:val="20"/>
              </w:rPr>
            </w:pPr>
            <w:r w:rsidRPr="008A5665">
              <w:rPr>
                <w:rFonts w:ascii="Times New Roman" w:hAnsi="Times New Roman"/>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3F6A6735" w:rsidR="00747C08" w:rsidRPr="008A5665" w:rsidRDefault="00105B98" w:rsidP="00747C08">
            <w:pPr>
              <w:jc w:val="center"/>
              <w:rPr>
                <w:rFonts w:ascii="Times New Roman" w:hAnsi="Times New Roman"/>
                <w:b/>
                <w:bCs/>
                <w:color w:val="000000"/>
                <w:sz w:val="20"/>
              </w:rPr>
            </w:pPr>
            <w:r w:rsidRPr="008A5665">
              <w:rPr>
                <w:rFonts w:ascii="Times New Roman" w:hAnsi="Times New Roman"/>
                <w:b/>
                <w:bCs/>
                <w:color w:val="000000"/>
                <w:sz w:val="20"/>
              </w:rPr>
              <w:t>18.982</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3E4B27D1" w:rsidR="005271A4" w:rsidRPr="00C70405" w:rsidRDefault="0025615A" w:rsidP="005271A4">
            <w:pPr>
              <w:jc w:val="center"/>
              <w:rPr>
                <w:rFonts w:ascii="Times New Roman" w:hAnsi="Times New Roman"/>
                <w:sz w:val="20"/>
              </w:rPr>
            </w:pPr>
            <w:r w:rsidRPr="00C70405">
              <w:rPr>
                <w:rFonts w:ascii="Times New Roman" w:hAnsi="Times New Roman"/>
                <w:sz w:val="20"/>
              </w:rPr>
              <w:t>8</w:t>
            </w:r>
          </w:p>
        </w:tc>
        <w:tc>
          <w:tcPr>
            <w:tcW w:w="325" w:type="pct"/>
            <w:tcBorders>
              <w:top w:val="nil"/>
              <w:left w:val="nil"/>
              <w:bottom w:val="single" w:sz="4" w:space="0" w:color="000000"/>
              <w:right w:val="single" w:sz="4" w:space="0" w:color="000000"/>
            </w:tcBorders>
            <w:vAlign w:val="center"/>
          </w:tcPr>
          <w:p w14:paraId="77285DAB" w14:textId="43430CC2" w:rsidR="0025615A" w:rsidRPr="00C70405" w:rsidRDefault="0025615A" w:rsidP="0025615A">
            <w:pPr>
              <w:jc w:val="center"/>
              <w:rPr>
                <w:rFonts w:ascii="Times New Roman" w:hAnsi="Times New Roman"/>
                <w:sz w:val="20"/>
              </w:rPr>
            </w:pPr>
            <w:r w:rsidRPr="00C70405">
              <w:rPr>
                <w:rFonts w:ascii="Times New Roman" w:hAnsi="Times New Roman"/>
                <w:sz w:val="20"/>
              </w:rPr>
              <w:t>2</w:t>
            </w:r>
            <w:r w:rsidR="00D725C0" w:rsidRPr="00C70405">
              <w:rPr>
                <w:rFonts w:ascii="Times New Roman" w:hAnsi="Times New Roman"/>
                <w:sz w:val="20"/>
              </w:rPr>
              <w:t>,85</w:t>
            </w:r>
          </w:p>
        </w:tc>
        <w:tc>
          <w:tcPr>
            <w:tcW w:w="316" w:type="pct"/>
            <w:tcBorders>
              <w:top w:val="nil"/>
              <w:left w:val="nil"/>
              <w:bottom w:val="single" w:sz="4" w:space="0" w:color="000000"/>
              <w:right w:val="single" w:sz="4" w:space="0" w:color="000000"/>
            </w:tcBorders>
            <w:vAlign w:val="center"/>
          </w:tcPr>
          <w:p w14:paraId="629E4EA6" w14:textId="77F1B354" w:rsidR="005271A4" w:rsidRPr="00C70405" w:rsidRDefault="005271A4" w:rsidP="005271A4">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C70405" w:rsidRDefault="00525A68" w:rsidP="00CD6ABB">
            <w:pPr>
              <w:jc w:val="left"/>
              <w:rPr>
                <w:rFonts w:ascii="Times New Roman" w:hAnsi="Times New Roman"/>
                <w:sz w:val="20"/>
              </w:rPr>
            </w:pPr>
            <w:r w:rsidRPr="00C70405">
              <w:rPr>
                <w:rFonts w:ascii="Times New Roman" w:hAnsi="Times New Roman"/>
                <w:sz w:val="20"/>
              </w:rPr>
              <w:t xml:space="preserve">0301 </w:t>
            </w:r>
            <w:proofErr w:type="gramStart"/>
            <w:r w:rsidRPr="00C70405">
              <w:rPr>
                <w:rFonts w:ascii="Times New Roman" w:hAnsi="Times New Roman"/>
                <w:sz w:val="20"/>
              </w:rPr>
              <w:t>Mejoramiento</w:t>
            </w:r>
            <w:proofErr w:type="gramEnd"/>
            <w:r w:rsidRPr="00C70405">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w:t>
            </w:r>
            <w:proofErr w:type="gramStart"/>
            <w:r w:rsidRPr="00C70405">
              <w:rPr>
                <w:rFonts w:ascii="Times New Roman" w:hAnsi="Times New Roman"/>
                <w:sz w:val="20"/>
              </w:rPr>
              <w:t>Servicio</w:t>
            </w:r>
            <w:proofErr w:type="gramEnd"/>
            <w:r w:rsidRPr="00C70405">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D7526B" w14:paraId="63521732" w14:textId="40FAB7EA"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D7526B" w:rsidRDefault="008179C9"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1A21EF" w:rsidRPr="00D7526B" w14:paraId="5F50D039" w14:textId="3CD64391"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D7526B" w:rsidRDefault="001A21E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D7526B" w:rsidRDefault="001A21E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68BDEE60"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8</w:t>
            </w:r>
          </w:p>
        </w:tc>
        <w:tc>
          <w:tcPr>
            <w:tcW w:w="327" w:type="pct"/>
            <w:tcBorders>
              <w:top w:val="single" w:sz="4" w:space="0" w:color="000000"/>
              <w:left w:val="nil"/>
              <w:bottom w:val="single" w:sz="4" w:space="0" w:color="000000"/>
              <w:right w:val="single" w:sz="4" w:space="0" w:color="000000"/>
            </w:tcBorders>
            <w:vAlign w:val="center"/>
          </w:tcPr>
          <w:p w14:paraId="5E312955" w14:textId="7F3E6DD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w:t>
            </w:r>
            <w:r w:rsidR="00D725C0" w:rsidRPr="00D7526B">
              <w:rPr>
                <w:rFonts w:ascii="Times New Roman" w:hAnsi="Times New Roman"/>
                <w:sz w:val="18"/>
                <w:szCs w:val="18"/>
              </w:rPr>
              <w:t>.85</w:t>
            </w:r>
          </w:p>
        </w:tc>
        <w:tc>
          <w:tcPr>
            <w:tcW w:w="327" w:type="pct"/>
            <w:tcBorders>
              <w:top w:val="single" w:sz="4" w:space="0" w:color="000000"/>
              <w:left w:val="nil"/>
              <w:bottom w:val="single" w:sz="4" w:space="0" w:color="000000"/>
              <w:right w:val="single" w:sz="4" w:space="0" w:color="000000"/>
            </w:tcBorders>
            <w:vAlign w:val="center"/>
          </w:tcPr>
          <w:p w14:paraId="20B0819C" w14:textId="1FD01EBA"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820C71" w:rsidRPr="00D7526B" w14:paraId="3A510C99" w14:textId="0B14A4B6"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D7526B" w:rsidRDefault="008179C9"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w:t>
            </w:r>
            <w:r w:rsidR="005328CD" w:rsidRPr="00D7526B">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D7526B" w:rsidRDefault="008179C9"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D7526B" w:rsidRDefault="008179C9"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48531DED" w14:textId="77777777" w:rsidTr="00253DF8">
        <w:trPr>
          <w:trHeight w:val="20"/>
          <w:jc w:val="center"/>
        </w:trPr>
        <w:tc>
          <w:tcPr>
            <w:tcW w:w="925" w:type="pct"/>
            <w:tcBorders>
              <w:left w:val="single" w:sz="4" w:space="0" w:color="000000"/>
              <w:bottom w:val="single" w:sz="4" w:space="0" w:color="000000"/>
              <w:right w:val="single" w:sz="4" w:space="0" w:color="000000"/>
            </w:tcBorders>
          </w:tcPr>
          <w:p w14:paraId="56CEF375" w14:textId="41BFA889" w:rsidR="00946927" w:rsidRPr="00D7526B" w:rsidRDefault="00946927"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D73CE7F" w:rsidR="00946927" w:rsidRPr="00D7526B" w:rsidRDefault="00946927"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D7526B" w:rsidRDefault="00946927"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D7526B" w:rsidRDefault="00946927"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D7526B" w:rsidRDefault="00DF0733" w:rsidP="00946927">
            <w:pPr>
              <w:jc w:val="center"/>
              <w:rPr>
                <w:rFonts w:ascii="Times New Roman" w:hAnsi="Times New Roman"/>
                <w:sz w:val="18"/>
                <w:szCs w:val="18"/>
              </w:rPr>
            </w:pPr>
            <w:r w:rsidRPr="00D7526B">
              <w:rPr>
                <w:rFonts w:ascii="Times New Roman" w:hAnsi="Times New Roman"/>
                <w:color w:val="000000"/>
                <w:sz w:val="22"/>
                <w:szCs w:val="22"/>
              </w:rPr>
              <w:t>20</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D7526B" w:rsidRDefault="00DF0733" w:rsidP="00946927">
            <w:pPr>
              <w:jc w:val="center"/>
              <w:rPr>
                <w:rFonts w:ascii="Times New Roman" w:hAnsi="Times New Roman"/>
                <w:sz w:val="18"/>
                <w:szCs w:val="18"/>
              </w:rPr>
            </w:pPr>
            <w:r w:rsidRPr="00D7526B">
              <w:rPr>
                <w:rFonts w:ascii="Times New Roman" w:hAnsi="Times New Roman"/>
                <w:sz w:val="22"/>
                <w:szCs w:val="22"/>
              </w:rPr>
              <w:t>30</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59470F95" w14:textId="3CEC2BCC"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B17AD41"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108FDFBF" w14:textId="7342FEE6"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162D9B80" w14:textId="33B22AAE"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820C71" w:rsidRPr="00C70405" w14:paraId="6EB34534" w14:textId="352BF88F"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D7526B" w:rsidRDefault="00B374E4"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D7526B" w:rsidRDefault="002D395D"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C70405" w:rsidRDefault="00B374E4"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24" w:name="_heading=h.1fob9te" w:colFirst="0" w:colLast="0"/>
            <w:bookmarkEnd w:id="24"/>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w:t>
            </w:r>
            <w:proofErr w:type="gramStart"/>
            <w:r w:rsidRPr="00253DF8">
              <w:rPr>
                <w:rFonts w:ascii="Times New Roman" w:hAnsi="Times New Roman"/>
                <w:sz w:val="18"/>
                <w:szCs w:val="16"/>
              </w:rPr>
              <w:t>%  la</w:t>
            </w:r>
            <w:proofErr w:type="gramEnd"/>
            <w:r w:rsidRPr="00253DF8">
              <w:rPr>
                <w:rFonts w:ascii="Times New Roman" w:hAnsi="Times New Roman"/>
                <w:sz w:val="18"/>
                <w:szCs w:val="16"/>
              </w:rPr>
              <w:t xml:space="preserve">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 xml:space="preserve">Porcentaje de avance en el fortalecimiento </w:t>
            </w:r>
            <w:proofErr w:type="gramStart"/>
            <w:r w:rsidRPr="00253DF8">
              <w:rPr>
                <w:rFonts w:ascii="Times New Roman" w:hAnsi="Times New Roman"/>
                <w:sz w:val="18"/>
                <w:szCs w:val="16"/>
              </w:rPr>
              <w:t>de  la</w:t>
            </w:r>
            <w:proofErr w:type="gramEnd"/>
            <w:r w:rsidRPr="00253DF8">
              <w:rPr>
                <w:rFonts w:ascii="Times New Roman" w:hAnsi="Times New Roman"/>
                <w:sz w:val="18"/>
                <w:szCs w:val="16"/>
              </w:rPr>
              <w:t xml:space="preserve">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 xml:space="preserve">formulación del </w:t>
            </w:r>
            <w:proofErr w:type="gramStart"/>
            <w:r w:rsidRPr="00253DF8">
              <w:rPr>
                <w:rFonts w:ascii="Times New Roman" w:hAnsi="Times New Roman"/>
                <w:sz w:val="18"/>
                <w:szCs w:val="16"/>
              </w:rPr>
              <w:t>PAL  y</w:t>
            </w:r>
            <w:proofErr w:type="gramEnd"/>
            <w:r w:rsidRPr="00253DF8">
              <w:rPr>
                <w:rFonts w:ascii="Times New Roman" w:hAnsi="Times New Roman"/>
                <w:sz w:val="18"/>
                <w:szCs w:val="16"/>
              </w:rPr>
              <w:t>/o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C70405" w:rsidRDefault="001A3C4D" w:rsidP="00CD6ABB">
      <w:pPr>
        <w:jc w:val="left"/>
        <w:rPr>
          <w:rFonts w:ascii="Times New Roman" w:hAnsi="Times New Roman"/>
          <w:sz w:val="22"/>
          <w:szCs w:val="22"/>
        </w:rPr>
      </w:pPr>
      <w:bookmarkStart w:id="25" w:name="_Hlk90912377"/>
      <w:r w:rsidRPr="00C70405">
        <w:rPr>
          <w:rFonts w:ascii="Times New Roman" w:hAnsi="Times New Roman"/>
          <w:b/>
          <w:bCs/>
          <w:sz w:val="22"/>
          <w:szCs w:val="22"/>
        </w:rPr>
        <w:t>Nombre</w:t>
      </w:r>
      <w:r w:rsidRPr="00C70405">
        <w:rPr>
          <w:rFonts w:ascii="Times New Roman" w:hAnsi="Times New Roman"/>
          <w:sz w:val="22"/>
          <w:szCs w:val="22"/>
        </w:rPr>
        <w:t xml:space="preserve">: </w:t>
      </w:r>
      <w:r w:rsidR="00DD50F2" w:rsidRPr="00C70405">
        <w:rPr>
          <w:rFonts w:ascii="Times New Roman" w:hAnsi="Times New Roman"/>
          <w:b/>
          <w:bCs/>
          <w:sz w:val="22"/>
          <w:szCs w:val="22"/>
        </w:rPr>
        <w:t>LUISA FERNANDA MORENO PANESSO</w:t>
      </w:r>
    </w:p>
    <w:p w14:paraId="00000777" w14:textId="62E01221" w:rsidR="00C41DB3" w:rsidRPr="00C70405" w:rsidRDefault="001A3C4D" w:rsidP="00744AE1">
      <w:pPr>
        <w:jc w:val="left"/>
        <w:rPr>
          <w:rFonts w:ascii="Times New Roman" w:hAnsi="Times New Roman"/>
          <w:sz w:val="22"/>
          <w:szCs w:val="22"/>
        </w:rPr>
      </w:pPr>
      <w:r w:rsidRPr="00C70405">
        <w:rPr>
          <w:rFonts w:ascii="Times New Roman" w:hAnsi="Times New Roman"/>
          <w:b/>
          <w:bCs/>
          <w:sz w:val="22"/>
          <w:szCs w:val="22"/>
        </w:rPr>
        <w:t>Cargo</w:t>
      </w:r>
      <w:r w:rsidRPr="00C70405">
        <w:rPr>
          <w:rFonts w:ascii="Times New Roman" w:hAnsi="Times New Roman"/>
          <w:sz w:val="22"/>
          <w:szCs w:val="22"/>
        </w:rPr>
        <w:t xml:space="preserve">: </w:t>
      </w:r>
      <w:proofErr w:type="gramStart"/>
      <w:r w:rsidR="00744AE1">
        <w:rPr>
          <w:rFonts w:ascii="Times New Roman" w:hAnsi="Times New Roman"/>
          <w:sz w:val="22"/>
          <w:szCs w:val="22"/>
        </w:rPr>
        <w:t>Directora</w:t>
      </w:r>
      <w:proofErr w:type="gramEnd"/>
      <w:r w:rsidRPr="00C70405">
        <w:rPr>
          <w:rFonts w:ascii="Times New Roman" w:hAnsi="Times New Roman"/>
          <w:sz w:val="22"/>
          <w:szCs w:val="22"/>
        </w:rPr>
        <w:t xml:space="preserve"> de Planeación y Sistemas de Información Ambiental</w:t>
      </w:r>
    </w:p>
    <w:p w14:paraId="00000778" w14:textId="324AD38E" w:rsidR="00C41DB3" w:rsidRPr="00C70405" w:rsidRDefault="001A3C4D" w:rsidP="00CD6ABB">
      <w:pPr>
        <w:jc w:val="left"/>
        <w:rPr>
          <w:rFonts w:ascii="Times New Roman" w:hAnsi="Times New Roman"/>
          <w:sz w:val="22"/>
          <w:szCs w:val="22"/>
        </w:rPr>
      </w:pPr>
      <w:r w:rsidRPr="00C70405">
        <w:rPr>
          <w:rFonts w:ascii="Times New Roman" w:hAnsi="Times New Roman"/>
          <w:b/>
          <w:bCs/>
          <w:sz w:val="22"/>
          <w:szCs w:val="22"/>
        </w:rPr>
        <w:t>Correo</w:t>
      </w:r>
      <w:r w:rsidRPr="00C70405">
        <w:rPr>
          <w:rFonts w:ascii="Times New Roman" w:hAnsi="Times New Roman"/>
          <w:sz w:val="22"/>
          <w:szCs w:val="22"/>
        </w:rPr>
        <w:t xml:space="preserve">: </w:t>
      </w:r>
      <w:r w:rsidR="00DD50F2" w:rsidRPr="00C70405">
        <w:rPr>
          <w:rFonts w:ascii="Times New Roman" w:hAnsi="Times New Roman"/>
          <w:sz w:val="22"/>
          <w:szCs w:val="22"/>
        </w:rPr>
        <w:t>luisa.moreno</w:t>
      </w:r>
      <w:r w:rsidRPr="00C70405">
        <w:rPr>
          <w:rFonts w:ascii="Times New Roman" w:hAnsi="Times New Roman"/>
          <w:sz w:val="22"/>
          <w:szCs w:val="22"/>
        </w:rPr>
        <w:t>@ambientebogota.gov.co</w:t>
      </w:r>
    </w:p>
    <w:p w14:paraId="00000779" w14:textId="77777777" w:rsidR="00C41DB3" w:rsidRPr="00C70405" w:rsidRDefault="001A3C4D" w:rsidP="00CD6ABB">
      <w:pPr>
        <w:jc w:val="left"/>
        <w:rPr>
          <w:rFonts w:ascii="Times New Roman" w:hAnsi="Times New Roman"/>
          <w:sz w:val="22"/>
          <w:szCs w:val="22"/>
          <w:highlight w:val="green"/>
        </w:rPr>
      </w:pPr>
      <w:r w:rsidRPr="00C70405">
        <w:rPr>
          <w:rFonts w:ascii="Times New Roman" w:hAnsi="Times New Roman"/>
          <w:b/>
          <w:bCs/>
          <w:sz w:val="22"/>
          <w:szCs w:val="22"/>
        </w:rPr>
        <w:t>Teléfono</w:t>
      </w:r>
      <w:r w:rsidRPr="00C70405">
        <w:rPr>
          <w:rFonts w:ascii="Times New Roman" w:hAnsi="Times New Roman"/>
          <w:sz w:val="22"/>
          <w:szCs w:val="22"/>
        </w:rPr>
        <w:t>: 3778913</w:t>
      </w:r>
      <w:bookmarkEnd w:id="25"/>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r w:rsidR="00894BC0" w:rsidRPr="00C70405" w14:paraId="5F7C9A1E"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ABD1D44" w14:textId="6400D8CF" w:rsidR="00894BC0" w:rsidRPr="00C70405" w:rsidRDefault="00894BC0" w:rsidP="005E3949">
            <w:pPr>
              <w:jc w:val="center"/>
              <w:rPr>
                <w:rFonts w:ascii="Times New Roman" w:hAnsi="Times New Roman"/>
                <w:sz w:val="18"/>
                <w:szCs w:val="18"/>
                <w:lang w:eastAsia="es-CO"/>
              </w:rPr>
            </w:pPr>
            <w:r>
              <w:rPr>
                <w:rFonts w:ascii="Times New Roman" w:hAnsi="Times New Roman"/>
                <w:sz w:val="18"/>
                <w:szCs w:val="18"/>
                <w:lang w:eastAsia="es-CO"/>
              </w:rPr>
              <w:t>13</w:t>
            </w:r>
          </w:p>
        </w:tc>
        <w:tc>
          <w:tcPr>
            <w:tcW w:w="5245" w:type="dxa"/>
            <w:tcBorders>
              <w:top w:val="single" w:sz="6" w:space="0" w:color="000000"/>
              <w:left w:val="single" w:sz="6" w:space="0" w:color="000000"/>
              <w:bottom w:val="single" w:sz="6" w:space="0" w:color="000000"/>
              <w:right w:val="single" w:sz="6" w:space="0" w:color="000000"/>
            </w:tcBorders>
            <w:vAlign w:val="center"/>
          </w:tcPr>
          <w:p w14:paraId="54189377" w14:textId="777CEBAB" w:rsidR="00894BC0" w:rsidRPr="00C70405" w:rsidRDefault="00894BC0" w:rsidP="005E3949">
            <w:pPr>
              <w:rPr>
                <w:rFonts w:ascii="Times New Roman" w:hAnsi="Times New Roman"/>
                <w:color w:val="000000"/>
                <w:sz w:val="17"/>
                <w:szCs w:val="17"/>
              </w:rPr>
            </w:pPr>
            <w:r>
              <w:rPr>
                <w:rFonts w:ascii="Times New Roman" w:hAnsi="Times New Roman"/>
                <w:color w:val="000000"/>
                <w:sz w:val="17"/>
                <w:szCs w:val="17"/>
              </w:rPr>
              <w:t xml:space="preserve">Se ajustan actividades programadas de las metas de </w:t>
            </w:r>
            <w:r w:rsidRPr="00894BC0">
              <w:rPr>
                <w:rFonts w:ascii="Times New Roman" w:hAnsi="Times New Roman"/>
                <w:color w:val="000000"/>
                <w:sz w:val="17"/>
                <w:szCs w:val="17"/>
              </w:rPr>
              <w:t>articulación y coordinación entre las entidades del orden distrital con el nivel regional-nacional y las metas de gestión del conocimiento</w:t>
            </w:r>
            <w:r>
              <w:rPr>
                <w:rFonts w:ascii="Times New Roman" w:hAnsi="Times New Roman"/>
                <w:color w:val="000000"/>
                <w:sz w:val="17"/>
                <w:szCs w:val="17"/>
              </w:rPr>
              <w:t xml:space="preserve"> en materia ambiental.</w:t>
            </w:r>
          </w:p>
        </w:tc>
        <w:tc>
          <w:tcPr>
            <w:tcW w:w="2857" w:type="dxa"/>
            <w:tcBorders>
              <w:top w:val="single" w:sz="6" w:space="0" w:color="000000"/>
              <w:left w:val="single" w:sz="6" w:space="0" w:color="000000"/>
              <w:bottom w:val="single" w:sz="6" w:space="0" w:color="000000"/>
              <w:right w:val="single" w:sz="6" w:space="0" w:color="000000"/>
            </w:tcBorders>
            <w:vAlign w:val="center"/>
          </w:tcPr>
          <w:p w14:paraId="4DDE2D4C" w14:textId="77777777" w:rsidR="00894BC0" w:rsidRPr="00C70405" w:rsidRDefault="00894BC0" w:rsidP="005E3949">
            <w:pPr>
              <w:rPr>
                <w:rFonts w:ascii="Times New Roman" w:hAnsi="Times New Roman"/>
                <w:color w:val="000000"/>
                <w:sz w:val="17"/>
                <w:szCs w:val="17"/>
              </w:rPr>
            </w:pP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09B5" w14:textId="77777777" w:rsidR="000A6C20" w:rsidRDefault="000A6C20">
      <w:r>
        <w:separator/>
      </w:r>
    </w:p>
  </w:endnote>
  <w:endnote w:type="continuationSeparator" w:id="0">
    <w:p w14:paraId="08A06540" w14:textId="77777777" w:rsidR="000A6C20" w:rsidRDefault="000A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99F4" w14:textId="77777777" w:rsidR="000A6C20" w:rsidRDefault="000A6C20">
      <w:r>
        <w:separator/>
      </w:r>
    </w:p>
  </w:footnote>
  <w:footnote w:type="continuationSeparator" w:id="0">
    <w:p w14:paraId="269F6803" w14:textId="77777777" w:rsidR="000A6C20" w:rsidRDefault="000A6C20">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7DDB"/>
    <w:rsid w:val="00011CE4"/>
    <w:rsid w:val="000123D9"/>
    <w:rsid w:val="00013576"/>
    <w:rsid w:val="00015347"/>
    <w:rsid w:val="000154C8"/>
    <w:rsid w:val="00016E65"/>
    <w:rsid w:val="000200E8"/>
    <w:rsid w:val="0002080B"/>
    <w:rsid w:val="000214F2"/>
    <w:rsid w:val="00024134"/>
    <w:rsid w:val="00025508"/>
    <w:rsid w:val="00025B01"/>
    <w:rsid w:val="00027930"/>
    <w:rsid w:val="00030405"/>
    <w:rsid w:val="00030ACF"/>
    <w:rsid w:val="00030DF2"/>
    <w:rsid w:val="00030E4C"/>
    <w:rsid w:val="00032963"/>
    <w:rsid w:val="00035020"/>
    <w:rsid w:val="00035DE3"/>
    <w:rsid w:val="00037A18"/>
    <w:rsid w:val="00040040"/>
    <w:rsid w:val="00044CBB"/>
    <w:rsid w:val="00045271"/>
    <w:rsid w:val="00045EFD"/>
    <w:rsid w:val="00047119"/>
    <w:rsid w:val="00051731"/>
    <w:rsid w:val="00053D80"/>
    <w:rsid w:val="00056BE8"/>
    <w:rsid w:val="00060917"/>
    <w:rsid w:val="000618CD"/>
    <w:rsid w:val="00061F8C"/>
    <w:rsid w:val="000646C3"/>
    <w:rsid w:val="00066103"/>
    <w:rsid w:val="00070477"/>
    <w:rsid w:val="0007084B"/>
    <w:rsid w:val="00074A1D"/>
    <w:rsid w:val="000750EB"/>
    <w:rsid w:val="000752F7"/>
    <w:rsid w:val="00077FA0"/>
    <w:rsid w:val="00081436"/>
    <w:rsid w:val="000819ED"/>
    <w:rsid w:val="00087398"/>
    <w:rsid w:val="00087564"/>
    <w:rsid w:val="00091324"/>
    <w:rsid w:val="00097A23"/>
    <w:rsid w:val="000A30B9"/>
    <w:rsid w:val="000A422E"/>
    <w:rsid w:val="000A65E7"/>
    <w:rsid w:val="000A6C20"/>
    <w:rsid w:val="000B1FFA"/>
    <w:rsid w:val="000B3629"/>
    <w:rsid w:val="000B5221"/>
    <w:rsid w:val="000B5443"/>
    <w:rsid w:val="000C0B7D"/>
    <w:rsid w:val="000C44CA"/>
    <w:rsid w:val="000C4C9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20C9D"/>
    <w:rsid w:val="00121BD2"/>
    <w:rsid w:val="00122D0E"/>
    <w:rsid w:val="00122F98"/>
    <w:rsid w:val="001260DC"/>
    <w:rsid w:val="00126128"/>
    <w:rsid w:val="001274DE"/>
    <w:rsid w:val="001345AE"/>
    <w:rsid w:val="00134F96"/>
    <w:rsid w:val="00143056"/>
    <w:rsid w:val="0014350B"/>
    <w:rsid w:val="0014480C"/>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51C3"/>
    <w:rsid w:val="001B7AFE"/>
    <w:rsid w:val="001C0C10"/>
    <w:rsid w:val="001C3564"/>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1762B"/>
    <w:rsid w:val="00224556"/>
    <w:rsid w:val="002301AD"/>
    <w:rsid w:val="0023558E"/>
    <w:rsid w:val="00235CD0"/>
    <w:rsid w:val="00235F27"/>
    <w:rsid w:val="002360F6"/>
    <w:rsid w:val="002369C7"/>
    <w:rsid w:val="00237DC2"/>
    <w:rsid w:val="0024657C"/>
    <w:rsid w:val="00250590"/>
    <w:rsid w:val="002506D2"/>
    <w:rsid w:val="00253DF8"/>
    <w:rsid w:val="00255A0B"/>
    <w:rsid w:val="0025615A"/>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4C49"/>
    <w:rsid w:val="00286F38"/>
    <w:rsid w:val="002873F8"/>
    <w:rsid w:val="002918FF"/>
    <w:rsid w:val="00292516"/>
    <w:rsid w:val="00292802"/>
    <w:rsid w:val="00295FAF"/>
    <w:rsid w:val="00297922"/>
    <w:rsid w:val="002A25E6"/>
    <w:rsid w:val="002A301F"/>
    <w:rsid w:val="002B03D2"/>
    <w:rsid w:val="002B36E6"/>
    <w:rsid w:val="002B3C8D"/>
    <w:rsid w:val="002C14C4"/>
    <w:rsid w:val="002C1C55"/>
    <w:rsid w:val="002C27AB"/>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3369"/>
    <w:rsid w:val="002F349F"/>
    <w:rsid w:val="002F4E02"/>
    <w:rsid w:val="002F5E86"/>
    <w:rsid w:val="002F6A24"/>
    <w:rsid w:val="002F7320"/>
    <w:rsid w:val="003004B9"/>
    <w:rsid w:val="00306767"/>
    <w:rsid w:val="0030708B"/>
    <w:rsid w:val="0031217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95D"/>
    <w:rsid w:val="00337459"/>
    <w:rsid w:val="0034167F"/>
    <w:rsid w:val="00341FB2"/>
    <w:rsid w:val="00341FC0"/>
    <w:rsid w:val="00346FE3"/>
    <w:rsid w:val="00347E21"/>
    <w:rsid w:val="00350314"/>
    <w:rsid w:val="003537C5"/>
    <w:rsid w:val="00354FBE"/>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89D"/>
    <w:rsid w:val="00381D13"/>
    <w:rsid w:val="0038253B"/>
    <w:rsid w:val="003828BE"/>
    <w:rsid w:val="0038293E"/>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2743"/>
    <w:rsid w:val="003B518A"/>
    <w:rsid w:val="003C1EA6"/>
    <w:rsid w:val="003C2EA1"/>
    <w:rsid w:val="003C3EF2"/>
    <w:rsid w:val="003C64FC"/>
    <w:rsid w:val="003C6C57"/>
    <w:rsid w:val="003C6D9E"/>
    <w:rsid w:val="003C7BCC"/>
    <w:rsid w:val="003C7F15"/>
    <w:rsid w:val="003D1425"/>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4D06"/>
    <w:rsid w:val="00465A93"/>
    <w:rsid w:val="00473345"/>
    <w:rsid w:val="00474447"/>
    <w:rsid w:val="0047631A"/>
    <w:rsid w:val="00477598"/>
    <w:rsid w:val="00480627"/>
    <w:rsid w:val="0048211C"/>
    <w:rsid w:val="00482125"/>
    <w:rsid w:val="004823AD"/>
    <w:rsid w:val="00482664"/>
    <w:rsid w:val="00482A5E"/>
    <w:rsid w:val="004847B7"/>
    <w:rsid w:val="00486472"/>
    <w:rsid w:val="004867E9"/>
    <w:rsid w:val="00486C08"/>
    <w:rsid w:val="00486C29"/>
    <w:rsid w:val="00487354"/>
    <w:rsid w:val="00490A10"/>
    <w:rsid w:val="00491752"/>
    <w:rsid w:val="00493FC5"/>
    <w:rsid w:val="00496099"/>
    <w:rsid w:val="00497339"/>
    <w:rsid w:val="004A1EAF"/>
    <w:rsid w:val="004A3C7A"/>
    <w:rsid w:val="004A3E48"/>
    <w:rsid w:val="004A565A"/>
    <w:rsid w:val="004A6E9F"/>
    <w:rsid w:val="004B1DFE"/>
    <w:rsid w:val="004B1EA1"/>
    <w:rsid w:val="004B5D32"/>
    <w:rsid w:val="004B5E37"/>
    <w:rsid w:val="004B5F1B"/>
    <w:rsid w:val="004B7449"/>
    <w:rsid w:val="004B7B98"/>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F37FE"/>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1E17"/>
    <w:rsid w:val="0051278D"/>
    <w:rsid w:val="00517A22"/>
    <w:rsid w:val="00520931"/>
    <w:rsid w:val="00521746"/>
    <w:rsid w:val="00523F58"/>
    <w:rsid w:val="0052488A"/>
    <w:rsid w:val="00524BB1"/>
    <w:rsid w:val="00525A68"/>
    <w:rsid w:val="005271A4"/>
    <w:rsid w:val="0053044C"/>
    <w:rsid w:val="0053074B"/>
    <w:rsid w:val="005328CD"/>
    <w:rsid w:val="00533E0E"/>
    <w:rsid w:val="00533E43"/>
    <w:rsid w:val="00535501"/>
    <w:rsid w:val="005366A6"/>
    <w:rsid w:val="00540798"/>
    <w:rsid w:val="005424D1"/>
    <w:rsid w:val="00542662"/>
    <w:rsid w:val="00544C65"/>
    <w:rsid w:val="005452B5"/>
    <w:rsid w:val="00545FF4"/>
    <w:rsid w:val="00550482"/>
    <w:rsid w:val="005505EB"/>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21F2"/>
    <w:rsid w:val="006324E2"/>
    <w:rsid w:val="00636A4A"/>
    <w:rsid w:val="00640A8A"/>
    <w:rsid w:val="006417C3"/>
    <w:rsid w:val="006422B9"/>
    <w:rsid w:val="00642CD0"/>
    <w:rsid w:val="00645466"/>
    <w:rsid w:val="00646CBA"/>
    <w:rsid w:val="006473AB"/>
    <w:rsid w:val="00650E71"/>
    <w:rsid w:val="00652FCA"/>
    <w:rsid w:val="00657C35"/>
    <w:rsid w:val="00662144"/>
    <w:rsid w:val="00665159"/>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52DA"/>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3072E"/>
    <w:rsid w:val="00730D8E"/>
    <w:rsid w:val="00733038"/>
    <w:rsid w:val="007347F6"/>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41AE"/>
    <w:rsid w:val="007A557B"/>
    <w:rsid w:val="007A5BC3"/>
    <w:rsid w:val="007A7E55"/>
    <w:rsid w:val="007B0D66"/>
    <w:rsid w:val="007B492E"/>
    <w:rsid w:val="007B66E9"/>
    <w:rsid w:val="007C00A8"/>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73B95"/>
    <w:rsid w:val="00880AA3"/>
    <w:rsid w:val="00886633"/>
    <w:rsid w:val="00886D3B"/>
    <w:rsid w:val="008909C0"/>
    <w:rsid w:val="00894285"/>
    <w:rsid w:val="0089435C"/>
    <w:rsid w:val="00894BC0"/>
    <w:rsid w:val="00895104"/>
    <w:rsid w:val="00895670"/>
    <w:rsid w:val="008A1E6C"/>
    <w:rsid w:val="008A5665"/>
    <w:rsid w:val="008A707B"/>
    <w:rsid w:val="008B1976"/>
    <w:rsid w:val="008B2810"/>
    <w:rsid w:val="008C0A7A"/>
    <w:rsid w:val="008C0BC4"/>
    <w:rsid w:val="008C199F"/>
    <w:rsid w:val="008C2893"/>
    <w:rsid w:val="008C34C8"/>
    <w:rsid w:val="008C3C20"/>
    <w:rsid w:val="008C7D39"/>
    <w:rsid w:val="008D28DB"/>
    <w:rsid w:val="008D41B0"/>
    <w:rsid w:val="008D497A"/>
    <w:rsid w:val="008D49F0"/>
    <w:rsid w:val="008E2989"/>
    <w:rsid w:val="008E7649"/>
    <w:rsid w:val="008F062B"/>
    <w:rsid w:val="008F3B2F"/>
    <w:rsid w:val="008F3EE5"/>
    <w:rsid w:val="008F43D3"/>
    <w:rsid w:val="008F48ED"/>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5891"/>
    <w:rsid w:val="0094686B"/>
    <w:rsid w:val="00946927"/>
    <w:rsid w:val="00947EA2"/>
    <w:rsid w:val="0095380E"/>
    <w:rsid w:val="00957E6D"/>
    <w:rsid w:val="00962B2E"/>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96644"/>
    <w:rsid w:val="009A394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D7FEE"/>
    <w:rsid w:val="009E10BF"/>
    <w:rsid w:val="009E7A52"/>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57D"/>
    <w:rsid w:val="00A44A2F"/>
    <w:rsid w:val="00A45E4B"/>
    <w:rsid w:val="00A46188"/>
    <w:rsid w:val="00A5043B"/>
    <w:rsid w:val="00A50910"/>
    <w:rsid w:val="00A55D3A"/>
    <w:rsid w:val="00A6157B"/>
    <w:rsid w:val="00A63B69"/>
    <w:rsid w:val="00A6680C"/>
    <w:rsid w:val="00A703A3"/>
    <w:rsid w:val="00A72D88"/>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F00CC"/>
    <w:rsid w:val="00AF1368"/>
    <w:rsid w:val="00AF1898"/>
    <w:rsid w:val="00AF5858"/>
    <w:rsid w:val="00B000D6"/>
    <w:rsid w:val="00B001FA"/>
    <w:rsid w:val="00B01378"/>
    <w:rsid w:val="00B04D95"/>
    <w:rsid w:val="00B05AD0"/>
    <w:rsid w:val="00B07CAC"/>
    <w:rsid w:val="00B110F9"/>
    <w:rsid w:val="00B1157B"/>
    <w:rsid w:val="00B14F93"/>
    <w:rsid w:val="00B16291"/>
    <w:rsid w:val="00B206B9"/>
    <w:rsid w:val="00B2091D"/>
    <w:rsid w:val="00B214E2"/>
    <w:rsid w:val="00B25700"/>
    <w:rsid w:val="00B3055D"/>
    <w:rsid w:val="00B33C45"/>
    <w:rsid w:val="00B365A0"/>
    <w:rsid w:val="00B374E4"/>
    <w:rsid w:val="00B4490E"/>
    <w:rsid w:val="00B44B92"/>
    <w:rsid w:val="00B45086"/>
    <w:rsid w:val="00B45CC7"/>
    <w:rsid w:val="00B45CD2"/>
    <w:rsid w:val="00B46A7A"/>
    <w:rsid w:val="00B511FF"/>
    <w:rsid w:val="00B521FF"/>
    <w:rsid w:val="00B530C3"/>
    <w:rsid w:val="00B55290"/>
    <w:rsid w:val="00B57C8E"/>
    <w:rsid w:val="00B57F8D"/>
    <w:rsid w:val="00B622A0"/>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31"/>
    <w:rsid w:val="00BB3962"/>
    <w:rsid w:val="00BB578F"/>
    <w:rsid w:val="00BB660E"/>
    <w:rsid w:val="00BB68D9"/>
    <w:rsid w:val="00BB761C"/>
    <w:rsid w:val="00BB7B49"/>
    <w:rsid w:val="00BB7FE8"/>
    <w:rsid w:val="00BC12E8"/>
    <w:rsid w:val="00BC1A26"/>
    <w:rsid w:val="00BC4B17"/>
    <w:rsid w:val="00BC4C51"/>
    <w:rsid w:val="00BC6EE1"/>
    <w:rsid w:val="00BC7283"/>
    <w:rsid w:val="00BC75EB"/>
    <w:rsid w:val="00BD0405"/>
    <w:rsid w:val="00BD163C"/>
    <w:rsid w:val="00BE1092"/>
    <w:rsid w:val="00BE591F"/>
    <w:rsid w:val="00BE7D8E"/>
    <w:rsid w:val="00BF1091"/>
    <w:rsid w:val="00BF4FE0"/>
    <w:rsid w:val="00BF6411"/>
    <w:rsid w:val="00BF67DE"/>
    <w:rsid w:val="00BF776D"/>
    <w:rsid w:val="00C01F9F"/>
    <w:rsid w:val="00C039FF"/>
    <w:rsid w:val="00C04931"/>
    <w:rsid w:val="00C06285"/>
    <w:rsid w:val="00C06DFE"/>
    <w:rsid w:val="00C135BB"/>
    <w:rsid w:val="00C14358"/>
    <w:rsid w:val="00C15784"/>
    <w:rsid w:val="00C15F8F"/>
    <w:rsid w:val="00C209FE"/>
    <w:rsid w:val="00C224A5"/>
    <w:rsid w:val="00C27D01"/>
    <w:rsid w:val="00C30BB8"/>
    <w:rsid w:val="00C32AB5"/>
    <w:rsid w:val="00C36F7A"/>
    <w:rsid w:val="00C419E0"/>
    <w:rsid w:val="00C41DA6"/>
    <w:rsid w:val="00C41DB3"/>
    <w:rsid w:val="00C4272C"/>
    <w:rsid w:val="00C42A7E"/>
    <w:rsid w:val="00C42C1D"/>
    <w:rsid w:val="00C45D8A"/>
    <w:rsid w:val="00C46105"/>
    <w:rsid w:val="00C500DA"/>
    <w:rsid w:val="00C51581"/>
    <w:rsid w:val="00C522C8"/>
    <w:rsid w:val="00C525B3"/>
    <w:rsid w:val="00C53ACE"/>
    <w:rsid w:val="00C54AAC"/>
    <w:rsid w:val="00C607F9"/>
    <w:rsid w:val="00C64FC6"/>
    <w:rsid w:val="00C70405"/>
    <w:rsid w:val="00C7042B"/>
    <w:rsid w:val="00C71DBE"/>
    <w:rsid w:val="00C71F99"/>
    <w:rsid w:val="00C75B37"/>
    <w:rsid w:val="00C768BD"/>
    <w:rsid w:val="00C76A91"/>
    <w:rsid w:val="00C82669"/>
    <w:rsid w:val="00C84095"/>
    <w:rsid w:val="00C84168"/>
    <w:rsid w:val="00C84786"/>
    <w:rsid w:val="00C8776C"/>
    <w:rsid w:val="00C91E0E"/>
    <w:rsid w:val="00C91E3A"/>
    <w:rsid w:val="00C92445"/>
    <w:rsid w:val="00C9526F"/>
    <w:rsid w:val="00C973E5"/>
    <w:rsid w:val="00CA0101"/>
    <w:rsid w:val="00CA03CF"/>
    <w:rsid w:val="00CA2E7A"/>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56E"/>
    <w:rsid w:val="00CE4681"/>
    <w:rsid w:val="00CE51D9"/>
    <w:rsid w:val="00CF039D"/>
    <w:rsid w:val="00CF068B"/>
    <w:rsid w:val="00CF0A1B"/>
    <w:rsid w:val="00CF0BF1"/>
    <w:rsid w:val="00CF21FA"/>
    <w:rsid w:val="00CF546A"/>
    <w:rsid w:val="00CF6993"/>
    <w:rsid w:val="00CF77FF"/>
    <w:rsid w:val="00CF7B99"/>
    <w:rsid w:val="00D01B87"/>
    <w:rsid w:val="00D0274C"/>
    <w:rsid w:val="00D03178"/>
    <w:rsid w:val="00D0580C"/>
    <w:rsid w:val="00D12903"/>
    <w:rsid w:val="00D14226"/>
    <w:rsid w:val="00D15970"/>
    <w:rsid w:val="00D17B08"/>
    <w:rsid w:val="00D22448"/>
    <w:rsid w:val="00D252D2"/>
    <w:rsid w:val="00D26111"/>
    <w:rsid w:val="00D26D30"/>
    <w:rsid w:val="00D3390E"/>
    <w:rsid w:val="00D35B0E"/>
    <w:rsid w:val="00D36794"/>
    <w:rsid w:val="00D40158"/>
    <w:rsid w:val="00D42C36"/>
    <w:rsid w:val="00D447BE"/>
    <w:rsid w:val="00D51869"/>
    <w:rsid w:val="00D563E1"/>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D6B"/>
    <w:rsid w:val="00D80774"/>
    <w:rsid w:val="00D82363"/>
    <w:rsid w:val="00D82C65"/>
    <w:rsid w:val="00D83FD7"/>
    <w:rsid w:val="00D84DB9"/>
    <w:rsid w:val="00D86B62"/>
    <w:rsid w:val="00D91A32"/>
    <w:rsid w:val="00D93BA9"/>
    <w:rsid w:val="00D948B2"/>
    <w:rsid w:val="00D95052"/>
    <w:rsid w:val="00D96C86"/>
    <w:rsid w:val="00DA20B1"/>
    <w:rsid w:val="00DA3002"/>
    <w:rsid w:val="00DA3D9D"/>
    <w:rsid w:val="00DA434C"/>
    <w:rsid w:val="00DA69C8"/>
    <w:rsid w:val="00DA6FED"/>
    <w:rsid w:val="00DB0865"/>
    <w:rsid w:val="00DB0C16"/>
    <w:rsid w:val="00DB1720"/>
    <w:rsid w:val="00DB1B4C"/>
    <w:rsid w:val="00DB30BD"/>
    <w:rsid w:val="00DB5D88"/>
    <w:rsid w:val="00DB5DA6"/>
    <w:rsid w:val="00DB6A50"/>
    <w:rsid w:val="00DB79E3"/>
    <w:rsid w:val="00DC09CB"/>
    <w:rsid w:val="00DC5591"/>
    <w:rsid w:val="00DC5B72"/>
    <w:rsid w:val="00DD1BC6"/>
    <w:rsid w:val="00DD20E3"/>
    <w:rsid w:val="00DD3EE7"/>
    <w:rsid w:val="00DD50F2"/>
    <w:rsid w:val="00DD7546"/>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EB0"/>
    <w:rsid w:val="00E346E2"/>
    <w:rsid w:val="00E35190"/>
    <w:rsid w:val="00E409D3"/>
    <w:rsid w:val="00E40D74"/>
    <w:rsid w:val="00E4180C"/>
    <w:rsid w:val="00E426CB"/>
    <w:rsid w:val="00E4281E"/>
    <w:rsid w:val="00E4361A"/>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50B4"/>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5AB1"/>
    <w:rsid w:val="00EF7699"/>
    <w:rsid w:val="00F06DE1"/>
    <w:rsid w:val="00F0720A"/>
    <w:rsid w:val="00F107CD"/>
    <w:rsid w:val="00F10B8C"/>
    <w:rsid w:val="00F1313B"/>
    <w:rsid w:val="00F13EBC"/>
    <w:rsid w:val="00F150E0"/>
    <w:rsid w:val="00F16555"/>
    <w:rsid w:val="00F16FAC"/>
    <w:rsid w:val="00F17907"/>
    <w:rsid w:val="00F219F0"/>
    <w:rsid w:val="00F2235D"/>
    <w:rsid w:val="00F26E8D"/>
    <w:rsid w:val="00F30836"/>
    <w:rsid w:val="00F31F0B"/>
    <w:rsid w:val="00F33630"/>
    <w:rsid w:val="00F341F2"/>
    <w:rsid w:val="00F348F5"/>
    <w:rsid w:val="00F35828"/>
    <w:rsid w:val="00F44048"/>
    <w:rsid w:val="00F5013B"/>
    <w:rsid w:val="00F53BC7"/>
    <w:rsid w:val="00F60648"/>
    <w:rsid w:val="00F61932"/>
    <w:rsid w:val="00F63F22"/>
    <w:rsid w:val="00F6673F"/>
    <w:rsid w:val="00F70CE2"/>
    <w:rsid w:val="00F71C14"/>
    <w:rsid w:val="00F720E7"/>
    <w:rsid w:val="00F72630"/>
    <w:rsid w:val="00F73EDC"/>
    <w:rsid w:val="00F7476D"/>
    <w:rsid w:val="00F74D38"/>
    <w:rsid w:val="00F760A5"/>
    <w:rsid w:val="00F771D0"/>
    <w:rsid w:val="00F774AF"/>
    <w:rsid w:val="00F80ADE"/>
    <w:rsid w:val="00F80BAA"/>
    <w:rsid w:val="00F81C2F"/>
    <w:rsid w:val="00F8710E"/>
    <w:rsid w:val="00F90C14"/>
    <w:rsid w:val="00F9734D"/>
    <w:rsid w:val="00FA28DD"/>
    <w:rsid w:val="00FA3029"/>
    <w:rsid w:val="00FA4834"/>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List Paragraph,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71</Pages>
  <Words>25349</Words>
  <Characters>139423</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 SPCI</cp:lastModifiedBy>
  <cp:revision>10</cp:revision>
  <cp:lastPrinted>2020-08-05T15:54:00Z</cp:lastPrinted>
  <dcterms:created xsi:type="dcterms:W3CDTF">2023-01-16T01:45:00Z</dcterms:created>
  <dcterms:modified xsi:type="dcterms:W3CDTF">2023-01-31T18:20:00Z</dcterms:modified>
</cp:coreProperties>
</file>